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321368996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220"/>
      </w:tblGrid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142061679"/>
                <w:dataBinding w:prefixMappings="xmlns:ns0='http://schemas.openxmlformats.org/officeDocument/2006/extended-properties'" w:xpath="/ns0:Properties[1]/ns0:Company[1]" w:storeItemID="{6668398D-A668-4E3E-A5EB-62B293D839F1}"/>
                <w:placeholder>
                  <w:docPart w:val="9F289E853BF54024B6C43CCD10EDC323"/>
                </w:placeholder>
                <w:alias w:val="Company"/>
                <w:text/>
              </w:sdtPr>
              <w:sdtContent>
                <w:r>
                  <w:rPr/>
                  <w:t>Stručni kurs Razvoj bezbednog softvera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Aptos Display" w:hAnsi="Aptos Display" w:eastAsia="游ゴシック Light" w:cs="" w:asciiTheme="majorHAnsi" w:cstheme="majorBidi" w:eastAsiaTheme="majorEastAsia" w:hAnsiTheme="majorHAnsi"/>
                <w:color w:val="156082" w:themeColor="accent1"/>
                <w:sz w:val="88"/>
                <w:szCs w:val="88"/>
              </w:rPr>
            </w:pPr>
            <w:sdt>
              <w:sdtPr>
                <w:id w:val="1257355422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placeholder>
                  <w:docPart w:val="B271F4C5AA484567BB5D727FAA17DEF9"/>
                </w:placeholder>
                <w:alias w:val="Title"/>
                <w:text/>
              </w:sdtPr>
              <w:sdtContent>
                <w:r>
                  <w:rPr/>
                  <w:t>Izveštaj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42092147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placeholder>
                  <w:docPart w:val="C7FEDB486BCB433EAC5A1D2178B45810"/>
                </w:placeholder>
                <w:alias w:val="Subtitle"/>
                <w:text/>
              </w:sdtPr>
              <w:sdtContent>
                <w:r>
                  <w:rPr/>
                  <w:t>Pronađene ranjivosti u projektu “RealBookStore”</w:t>
                </w:r>
              </w:sdtContent>
            </w:sdt>
          </w:p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/>
              <w:t>Mateja Miletić</w:t>
            </w:r>
          </w:p>
          <w:p>
            <w:pPr>
              <w:pStyle w:val="Normal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10.09.2025.</w:t>
            </w:r>
          </w:p>
          <w:p>
            <w:pPr>
              <w:pStyle w:val="Normal"/>
              <w:widowControl w:val="false"/>
              <w:spacing w:before="0" w:after="160"/>
              <w:rPr>
                <w:color w:val="156082" w:themeColor="accent1"/>
              </w:rPr>
            </w:pPr>
            <w:r>
              <w:rPr>
                <w:color w:val="156082" w:themeColor="accen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color w:val="156082" w:themeColor="accent1"/>
                <w:sz w:val="28"/>
                <w:szCs w:val="28"/>
              </w:rPr>
            </w:pPr>
            <w:r>
              <w:rPr>
                <w:rFonts w:eastAsia="游明朝" w:cs=""/>
                <w:color w:val="156082" w:themeColor="accent1"/>
                <w:kern w:val="2"/>
                <w:sz w:val="28"/>
                <w:szCs w:val="28"/>
                <w:lang w:val="en-US" w:eastAsia="ja-JP" w:bidi="ar-SA"/>
              </w:rPr>
              <w:t>10.09.2025.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Spacing"/>
              <w:widowControl w:val="fals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6082" w:themeColor="accent1"/>
                <w:sz w:val="28"/>
                <w:szCs w:val="28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Mateja Miletić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1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Aptos"/>
                <w:sz w:val="24"/>
                <w:szCs w:val="24"/>
              </w:rPr>
            </w:pPr>
            <w:r>
              <w:rPr>
                <w:rFonts w:eastAsia="游明朝" w:cs=""/>
                <w:color w:val="000000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</w:t>
            </w: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color w:val="156082" w:themeColor="accent1"/>
                <w:sz w:val="28"/>
                <w:szCs w:val="28"/>
              </w:rPr>
            </w:pPr>
            <w:r>
              <w:rPr>
                <w:rFonts w:eastAsia="游明朝" w:cs=""/>
                <w:color w:val="156082" w:themeColor="accent1"/>
                <w:kern w:val="2"/>
                <w:sz w:val="28"/>
                <w:szCs w:val="28"/>
                <w:lang w:val="en-US" w:eastAsia="ja-JP" w:bidi="ar-SA"/>
              </w:rPr>
              <w:t>10.09.2025.</w:t>
            </w:r>
          </w:p>
        </w:tc>
        <w:tc>
          <w:tcPr>
            <w:tcW w:w="2254" w:type="dxa"/>
            <w:tcBorders/>
          </w:tcPr>
          <w:p>
            <w:pPr>
              <w:pStyle w:val="NoSpacing"/>
              <w:widowControl w:val="fals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6082" w:themeColor="accent1"/>
                <w:sz w:val="28"/>
                <w:szCs w:val="28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Mateja Miletić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color w:val="000000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color w:val="000000"/>
                <w:kern w:val="2"/>
                <w:sz w:val="24"/>
                <w:szCs w:val="24"/>
                <w:lang w:val="en-US" w:eastAsia="ja-JP" w:bidi="ar-SA"/>
              </w:rPr>
              <w:t>SQL injecetion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</w:t>
            </w: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2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color w:val="156082" w:themeColor="accent1"/>
                <w:sz w:val="28"/>
                <w:szCs w:val="28"/>
              </w:rPr>
            </w:pPr>
            <w:r>
              <w:rPr>
                <w:rFonts w:eastAsia="游明朝" w:cs=""/>
                <w:color w:val="156082" w:themeColor="accent1"/>
                <w:kern w:val="2"/>
                <w:sz w:val="28"/>
                <w:szCs w:val="28"/>
                <w:lang w:val="en-US" w:eastAsia="ja-JP" w:bidi="ar-SA"/>
              </w:rPr>
              <w:t>10.09.2025.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Spacing"/>
              <w:widowControl w:val="fals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6082" w:themeColor="accent1"/>
                <w:sz w:val="28"/>
                <w:szCs w:val="28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Mateja Miletić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color w:val="000000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color w:val="000000"/>
                <w:kern w:val="2"/>
                <w:sz w:val="24"/>
                <w:szCs w:val="24"/>
                <w:lang w:val="en-US" w:eastAsia="ja-JP" w:bidi="ar-SA"/>
              </w:rPr>
              <w:t>Cross-site scripting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</w:t>
            </w: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3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color w:val="156082" w:themeColor="accent1"/>
                <w:sz w:val="28"/>
                <w:szCs w:val="28"/>
              </w:rPr>
            </w:pPr>
            <w:r>
              <w:rPr>
                <w:rFonts w:eastAsia="游明朝" w:cs=""/>
                <w:color w:val="156082" w:themeColor="accent1"/>
                <w:kern w:val="2"/>
                <w:sz w:val="28"/>
                <w:szCs w:val="28"/>
                <w:lang w:val="en-US" w:eastAsia="ja-JP" w:bidi="ar-SA"/>
              </w:rPr>
              <w:t>10.09.2025.</w:t>
            </w:r>
          </w:p>
        </w:tc>
        <w:tc>
          <w:tcPr>
            <w:tcW w:w="2254" w:type="dxa"/>
            <w:tcBorders/>
          </w:tcPr>
          <w:p>
            <w:pPr>
              <w:pStyle w:val="NoSpacing"/>
              <w:widowControl w:val="fals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6082" w:themeColor="accent1"/>
                <w:sz w:val="28"/>
                <w:szCs w:val="28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Mateja Miletić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color w:val="000000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color w:val="000000"/>
                <w:kern w:val="2"/>
                <w:sz w:val="24"/>
                <w:szCs w:val="24"/>
                <w:lang w:val="en-US" w:eastAsia="ja-JP" w:bidi="ar-SA"/>
              </w:rPr>
              <w:t>Cross-site request forgery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</w:t>
            </w: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4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color w:val="156082" w:themeColor="accent1"/>
                <w:sz w:val="28"/>
                <w:szCs w:val="28"/>
              </w:rPr>
            </w:pPr>
            <w:r>
              <w:rPr>
                <w:rFonts w:eastAsia="游明朝" w:cs=""/>
                <w:color w:val="156082" w:themeColor="accent1"/>
                <w:kern w:val="2"/>
                <w:sz w:val="28"/>
                <w:szCs w:val="28"/>
                <w:lang w:val="en-US" w:eastAsia="ja-JP" w:bidi="ar-SA"/>
              </w:rPr>
              <w:t>10.09.2025.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Spacing"/>
              <w:widowControl w:val="fals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6082" w:themeColor="accent1"/>
                <w:sz w:val="28"/>
                <w:szCs w:val="28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Mateja Miletić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color w:val="000000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color w:val="000000"/>
                <w:kern w:val="2"/>
                <w:sz w:val="24"/>
                <w:szCs w:val="24"/>
                <w:lang w:val="en-US" w:eastAsia="ja-JP" w:bidi="ar-SA"/>
              </w:rPr>
              <w:t>Authorization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</w:t>
            </w: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5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color w:val="156082" w:themeColor="accent1"/>
                <w:sz w:val="28"/>
                <w:szCs w:val="28"/>
              </w:rPr>
            </w:pPr>
            <w:r>
              <w:rPr>
                <w:rFonts w:eastAsia="游明朝" w:cs=""/>
                <w:color w:val="156082" w:themeColor="accent1"/>
                <w:kern w:val="2"/>
                <w:sz w:val="28"/>
                <w:szCs w:val="28"/>
                <w:lang w:val="en-US" w:eastAsia="ja-JP" w:bidi="ar-SA"/>
              </w:rPr>
              <w:t>10.09.2025.</w:t>
            </w:r>
          </w:p>
        </w:tc>
        <w:tc>
          <w:tcPr>
            <w:tcW w:w="2254" w:type="dxa"/>
            <w:tcBorders/>
          </w:tcPr>
          <w:p>
            <w:pPr>
              <w:pStyle w:val="NoSpacing"/>
              <w:widowControl w:val="fals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6082" w:themeColor="accent1"/>
                <w:sz w:val="28"/>
                <w:szCs w:val="28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Mateja Miletić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DevOps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60050508">
            <w:r>
              <w:rPr>
                <w:webHidden/>
                <w:rStyle w:val="IndexLink"/>
              </w:rPr>
              <w:t>Istorija izmena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  <w:rStyle w:val="IndexLink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  <w:rStyle w:val="IndexLink"/>
              </w:rPr>
              <w:t>O veb aplikaciji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  <w:rStyle w:val="IndexLink"/>
              </w:rPr>
              <w:t>Kratak pregled rezultata testiranja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  <w:rStyle w:val="IndexLink"/>
              </w:rPr>
              <w:t>SQL injection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  <w:rStyle w:val="IndexLink"/>
              </w:rPr>
              <w:t>Napad: Ubacivanje novog usera u tabelu “persons” (SQL injection)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  <w:rStyle w:val="IndexLink"/>
              </w:rPr>
              <w:t>Cross-site scripting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  <w:rStyle w:val="IndexLink"/>
              </w:rPr>
              <w:t>Napad: Ubacivanje novog usera u tabelu “persons”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  <w:rStyle w:val="IndexLink"/>
              </w:rPr>
              <w:t>Metod napada: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  <w:rStyle w:val="IndexLink"/>
              </w:rPr>
              <w:t>Predlog odbrane: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Normal"/>
            <w:widowControl w:val="false"/>
            <w:tabs>
              <w:tab w:val="clear" w:pos="720"/>
              <w:tab w:val="right" w:pos="9016" w:leader="dot"/>
            </w:tabs>
            <w:suppressAutoHyphens w:val="true"/>
            <w:spacing w:lineRule="auto" w:line="240" w:before="0" w:after="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ptos" w:hAnsi="Aptos" w:eastAsia="游明朝" w:cs=""/>
              <w:color w:val="000000"/>
              <w:kern w:val="2"/>
              <w:sz w:val="24"/>
              <w:szCs w:val="24"/>
              <w:lang w:val="en-US" w:eastAsia="ja-JP" w:bidi="ar-SA"/>
            </w:rPr>
          </w:pPr>
          <w:r>
            <w:rPr>
              <w:rFonts w:eastAsia="游明朝" w:cs=""/>
              <w:color w:val="000000"/>
              <w:kern w:val="2"/>
              <w:sz w:val="24"/>
              <w:szCs w:val="24"/>
              <w:lang w:val="en-US" w:eastAsia="ja-JP" w:bidi="ar-SA"/>
            </w:rPr>
            <w:t>Cross-site request forgery</w:t>
          </w:r>
          <w:hyperlink w:anchor="_Toc160050516">
            <w:r>
              <w:rPr>
                <w:webHidden/>
                <w:rStyle w:val="IndexLink"/>
                <w:rFonts w:eastAsia="游明朝" w:cs=""/>
                <w:vanish w:val="false"/>
                <w:color w:val="000000"/>
                <w:kern w:val="2"/>
                <w:sz w:val="24"/>
                <w:szCs w:val="24"/>
                <w:lang w:val="en-US" w:eastAsia="ja-JP" w:bidi="ar-SA"/>
              </w:rPr>
              <w:tab/>
            </w:r>
          </w:hyperlink>
          <w:r>
            <w:rPr>
              <w:rFonts w:eastAsia="游明朝" w:cs=""/>
              <w:vanish w:val="false"/>
              <w:color w:val="000000"/>
              <w:kern w:val="2"/>
              <w:sz w:val="24"/>
              <w:szCs w:val="24"/>
              <w:lang w:val="en-US" w:eastAsia="ja-JP" w:bidi="ar-SA"/>
            </w:rPr>
            <w:t>9</w:t>
          </w:r>
        </w:p>
        <w:p>
          <w:pPr>
            <w:pStyle w:val="Contents3"/>
            <w:tabs>
              <w:tab w:val="clear" w:pos="720"/>
              <w:tab w:val="right" w:pos="9016" w:leader="dot"/>
            </w:tabs>
            <w:ind w:hanging="0"/>
            <w:rPr/>
          </w:pPr>
          <w:hyperlink w:anchor="_Toc160050518">
            <w:r>
              <w:rPr>
                <w:webHidden/>
                <w:rStyle w:val="IndexLink"/>
              </w:rPr>
              <w:t>Metod napada: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Normal"/>
            <w:widowControl w:val="false"/>
            <w:tabs>
              <w:tab w:val="clear" w:pos="720"/>
              <w:tab w:val="right" w:pos="9016" w:leader="dot"/>
            </w:tabs>
            <w:suppressAutoHyphens w:val="true"/>
            <w:spacing w:lineRule="auto" w:line="240" w:before="0" w:after="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ptos" w:hAnsi="Aptos" w:eastAsia="游明朝" w:cs=""/>
              <w:color w:val="000000"/>
              <w:kern w:val="2"/>
              <w:sz w:val="24"/>
              <w:szCs w:val="24"/>
              <w:lang w:val="en-US" w:eastAsia="ja-JP" w:bidi="ar-SA"/>
            </w:rPr>
          </w:pPr>
          <w:hyperlink w:anchor="_Toc160050519">
            <w:r>
              <w:rPr>
                <w:webHidden/>
                <w:rStyle w:val="IndexLink"/>
                <w:rFonts w:eastAsia="游明朝" w:cs=""/>
                <w:color w:val="000000"/>
                <w:kern w:val="2"/>
                <w:sz w:val="24"/>
                <w:szCs w:val="24"/>
                <w:lang w:val="en-US" w:eastAsia="ja-JP" w:bidi="ar-SA"/>
              </w:rPr>
              <w:t>Predlog odbrane:</w:t>
            </w:r>
            <w:r>
              <w:rPr>
                <w:rStyle w:val="IndexLink"/>
                <w:rFonts w:eastAsia="游明朝" w:cs=""/>
                <w:vanish w:val="false"/>
                <w:color w:val="000000"/>
                <w:kern w:val="2"/>
                <w:sz w:val="24"/>
                <w:szCs w:val="24"/>
                <w:lang w:val="en-US" w:eastAsia="ja-JP" w:bidi="ar-SA"/>
              </w:rPr>
              <w:tab/>
            </w:r>
          </w:hyperlink>
          <w:r>
            <w:rPr>
              <w:rFonts w:eastAsia="游明朝" w:cs=""/>
              <w:vanish w:val="false"/>
              <w:color w:val="000000"/>
              <w:kern w:val="2"/>
              <w:sz w:val="24"/>
              <w:szCs w:val="24"/>
              <w:lang w:val="en-US" w:eastAsia="ja-JP" w:bidi="ar-SA"/>
            </w:rPr>
            <w:t>11</w:t>
          </w:r>
        </w:p>
        <w:p>
          <w:pPr>
            <w:pStyle w:val="Normal"/>
            <w:widowControl w:val="false"/>
            <w:tabs>
              <w:tab w:val="clear" w:pos="720"/>
              <w:tab w:val="right" w:pos="9016" w:leader="dot"/>
            </w:tabs>
            <w:suppressAutoHyphens w:val="true"/>
            <w:spacing w:lineRule="auto" w:line="240" w:before="0" w:after="0"/>
            <w:jc w:val="lef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Aptos" w:hAnsi="Aptos" w:eastAsia="游明朝" w:cs=""/>
              <w:color w:val="000000"/>
              <w:kern w:val="2"/>
              <w:sz w:val="24"/>
              <w:szCs w:val="24"/>
              <w:lang w:val="en-US" w:eastAsia="ja-JP" w:bidi="ar-SA"/>
            </w:rPr>
          </w:pPr>
          <w:r>
            <w:rPr>
              <w:rFonts w:eastAsia="游明朝" w:cs=""/>
              <w:vanish w:val="false"/>
              <w:color w:val="000000"/>
              <w:kern w:val="2"/>
              <w:sz w:val="24"/>
              <w:szCs w:val="24"/>
              <w:lang w:val="en-US" w:eastAsia="ja-JP" w:bidi="ar-SA"/>
            </w:rPr>
            <w:t>Authorization</w:t>
          </w:r>
          <w:hyperlink w:anchor="_Toc160050519">
            <w:r>
              <w:rPr>
                <w:webHidden/>
                <w:rStyle w:val="IndexLink"/>
                <w:rFonts w:eastAsia="游明朝" w:cs=""/>
                <w:vanish w:val="false"/>
                <w:color w:val="000000"/>
                <w:kern w:val="2"/>
                <w:sz w:val="24"/>
                <w:szCs w:val="24"/>
                <w:lang w:val="en-US" w:eastAsia="ja-JP" w:bidi="ar-SA"/>
              </w:rPr>
              <w:tab/>
            </w:r>
          </w:hyperlink>
          <w:r>
            <w:rPr>
              <w:rFonts w:eastAsia="游明朝" w:cs=""/>
              <w:vanish w:val="false"/>
              <w:color w:val="000000"/>
              <w:kern w:val="2"/>
              <w:sz w:val="24"/>
              <w:szCs w:val="24"/>
              <w:lang w:val="en-US" w:eastAsia="ja-JP" w:bidi="ar-SA"/>
            </w:rPr>
            <w:t>12</w:t>
          </w:r>
        </w:p>
        <w:p>
          <w:pPr>
            <w:pStyle w:val="Normal"/>
            <w:widowControl/>
            <w:tabs>
              <w:tab w:val="clear" w:pos="720"/>
              <w:tab w:val="right" w:pos="9016" w:leader="dot"/>
            </w:tabs>
            <w:suppressAutoHyphens w:val="true"/>
            <w:spacing w:lineRule="auto" w:line="240" w:before="0" w:after="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ptos" w:hAnsi="Aptos" w:eastAsia="游明朝" w:cs=""/>
              <w:color w:val="000000"/>
              <w:kern w:val="2"/>
              <w:sz w:val="24"/>
              <w:szCs w:val="24"/>
              <w:lang w:val="en-US" w:eastAsia="ja-JP" w:bidi="ar-SA"/>
            </w:rPr>
          </w:pPr>
          <w:r>
            <w:rPr>
              <w:rFonts w:eastAsia="游明朝" w:cs=""/>
              <w:vanish w:val="false"/>
              <w:color w:val="000000"/>
              <w:kern w:val="2"/>
              <w:sz w:val="24"/>
              <w:szCs w:val="24"/>
              <w:lang w:val="en-US" w:eastAsia="ja-JP" w:bidi="ar-SA"/>
            </w:rPr>
            <w:t>DevOps</w:t>
          </w:r>
          <w:hyperlink w:anchor="_Toc160050519">
            <w:r>
              <w:rPr>
                <w:webHidden/>
                <w:rStyle w:val="IndexLink"/>
                <w:rFonts w:eastAsia="游明朝" w:cs=""/>
                <w:vanish w:val="false"/>
                <w:color w:val="000000"/>
                <w:kern w:val="2"/>
                <w:sz w:val="24"/>
                <w:szCs w:val="24"/>
                <w:lang w:val="en-US" w:eastAsia="ja-JP" w:bidi="ar-SA"/>
              </w:rPr>
              <w:tab/>
            </w:r>
          </w:hyperlink>
          <w:r>
            <w:rPr>
              <w:rFonts w:eastAsia="游明朝" w:cs=""/>
              <w:vanish w:val="false"/>
              <w:color w:val="000000"/>
              <w:kern w:val="2"/>
              <w:sz w:val="24"/>
              <w:szCs w:val="24"/>
              <w:lang w:val="en-US" w:eastAsia="ja-JP" w:bidi="ar-SA"/>
            </w:rPr>
            <w:t>13</w:t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  <w:rStyle w:val="IndexLink"/>
              </w:rPr>
              <w:t>Zaključak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>Ovde idu kratko opisani rezultati testiranja: pronađene ranjivosti i nivo opasnosti.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Nivo opasnosti</w:t>
            </w:r>
          </w:p>
        </w:tc>
        <w:tc>
          <w:tcPr>
            <w:tcW w:w="450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Broj ranjivosti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Low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3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Medium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High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  <w:t>Izvr</w:t>
      </w:r>
      <w:r>
        <w:rPr/>
        <w:t>š</w:t>
      </w:r>
      <w:r>
        <w:rPr/>
        <w:t>avamo napad uno</w:t>
      </w:r>
      <w:r>
        <w:rPr/>
        <w:t>š</w:t>
      </w:r>
      <w:r>
        <w:rPr/>
        <w:t>enjem upita u polje "Book comments". Ovim smo, pored komentara "Komentar", dodali i korisnika u tabelu "Persons" kroz polje "Book comments".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180975</wp:posOffset>
            </wp:positionH>
            <wp:positionV relativeFrom="paragraph">
              <wp:posOffset>-24130</wp:posOffset>
            </wp:positionV>
            <wp:extent cx="3674110" cy="5237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072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160050515"/>
      <w:r>
        <w:rPr/>
        <w:t>Predlog odbrane:</w:t>
      </w:r>
      <w:bookmarkEnd w:id="7"/>
    </w:p>
    <w:p>
      <w:pPr>
        <w:pStyle w:val="Normal"/>
        <w:rPr/>
      </w:pPr>
      <w:r>
        <w:rPr/>
        <w:t xml:space="preserve">Od ovakvog napada se branimo tako </w:t>
      </w:r>
      <w:r>
        <w:rPr/>
        <w:t>š</w:t>
      </w:r>
      <w:r>
        <w:rPr/>
        <w:t>to menjamo objekat klase Statement objektom klase PreparedStatement. Nakon odbrane komentar ce idalje biti dodat, ali novi korisnik nece.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6715" cy="40970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564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>Napad: Ubacivanje novog usera u tabelu “persons”</w:t>
      </w:r>
      <w:bookmarkEnd w:id="9"/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/>
        <w:t>Izvr</w:t>
      </w:r>
      <w:r>
        <w:rPr/>
        <w:t>š</w:t>
      </w:r>
      <w:r>
        <w:rPr/>
        <w:t xml:space="preserve">avamo </w:t>
      </w:r>
      <w:r>
        <w:rPr/>
        <w:t xml:space="preserve">Cross-site scripting </w:t>
      </w:r>
      <w:r>
        <w:rPr/>
        <w:t>napad uno</w:t>
      </w:r>
      <w:r>
        <w:rPr/>
        <w:t>š</w:t>
      </w:r>
      <w:r>
        <w:rPr/>
        <w:t>enjem upita u polje "Book comments". Ovim smo, pored komentara dodali i korisnika u tabelu "Persons" kroz polje "Book comments". Za razliku od malopre</w:t>
      </w:r>
    </w:p>
    <w:p>
      <w:pPr>
        <w:pStyle w:val="Normal"/>
        <w:rPr/>
      </w:pPr>
      <w:r>
        <w:rPr/>
        <w:t>sada umesto email adrese unosimo JavaScrip</w:t>
      </w:r>
      <w:r>
        <w:rPr/>
        <w:t>t</w:t>
      </w:r>
      <w:r>
        <w:rPr/>
        <w:t xml:space="preserve"> kod.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608330</wp:posOffset>
            </wp:positionH>
            <wp:positionV relativeFrom="paragraph">
              <wp:posOffset>118110</wp:posOffset>
            </wp:positionV>
            <wp:extent cx="3220085" cy="44621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075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933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Ukoliko poku</w:t>
      </w:r>
      <w:r>
        <w:rPr>
          <w:color w:val="000000"/>
          <w:sz w:val="24"/>
          <w:szCs w:val="24"/>
        </w:rPr>
        <w:t>š</w:t>
      </w:r>
      <w:r>
        <w:rPr>
          <w:color w:val="000000"/>
          <w:sz w:val="24"/>
          <w:szCs w:val="24"/>
        </w:rPr>
        <w:t>amo da pretra</w:t>
      </w:r>
      <w:r>
        <w:rPr>
          <w:color w:val="000000"/>
          <w:sz w:val="24"/>
          <w:szCs w:val="24"/>
        </w:rPr>
        <w:t>ž</w:t>
      </w:r>
      <w:r>
        <w:rPr>
          <w:color w:val="000000"/>
          <w:sz w:val="24"/>
          <w:szCs w:val="24"/>
        </w:rPr>
        <w:t>imo datog korsnika, bi</w:t>
      </w:r>
      <w:r>
        <w:rPr>
          <w:color w:val="000000"/>
          <w:sz w:val="24"/>
          <w:szCs w:val="24"/>
        </w:rPr>
        <w:t>ć</w:t>
      </w:r>
      <w:r>
        <w:rPr>
          <w:color w:val="000000"/>
          <w:sz w:val="24"/>
          <w:szCs w:val="24"/>
        </w:rPr>
        <w:t>e nam prikazan alert.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903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 xml:space="preserve">Od napada se branimo tako </w:t>
      </w:r>
      <w:r>
        <w:rPr/>
        <w:t>š</w:t>
      </w:r>
      <w:r>
        <w:rPr/>
        <w:t>to zamenimo objekat klase Statement objektom klase PreparedStatement. Pored toga potrebno je u persons.html zameniti innerHTML atribut textContent atributom, a u book.html fajlu th:utext sa th:text. Nakon ovih promena za</w:t>
      </w:r>
      <w:r>
        <w:rPr/>
        <w:t>š</w:t>
      </w:r>
      <w:r>
        <w:rPr/>
        <w:t>ti</w:t>
      </w:r>
      <w:r>
        <w:rPr/>
        <w:t>ć</w:t>
      </w:r>
      <w:r>
        <w:rPr/>
        <w:t>eni</w:t>
      </w:r>
    </w:p>
    <w:p>
      <w:pPr>
        <w:pStyle w:val="Normal"/>
        <w:rPr/>
      </w:pPr>
      <w:r>
        <w:rPr/>
        <w:t xml:space="preserve">smo od </w:t>
      </w:r>
      <w:r>
        <w:rPr/>
        <w:t>Cross-site scripting</w:t>
      </w:r>
      <w:r>
        <w:rPr/>
        <w:t xml:space="preserve"> napada, samo </w:t>
      </w:r>
      <w:r>
        <w:rPr/>
        <w:t>ć</w:t>
      </w:r>
      <w:r>
        <w:rPr/>
        <w:t>e komentar biti dodat, dok novi korisnik ne</w:t>
      </w:r>
      <w:r>
        <w:rPr/>
        <w:t>ć</w:t>
      </w:r>
      <w:r>
        <w:rPr/>
        <w:t>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074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161925</wp:posOffset>
            </wp:positionH>
            <wp:positionV relativeFrom="paragraph">
              <wp:posOffset>4267200</wp:posOffset>
            </wp:positionV>
            <wp:extent cx="5731510" cy="21564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rPr/>
      </w:r>
    </w:p>
    <w:p>
      <w:pPr>
        <w:pStyle w:val="Heading1"/>
        <w:rPr>
          <w:color w:val="5983B0"/>
        </w:rPr>
      </w:pPr>
      <w:bookmarkStart w:id="12" w:name="_Toc160050520"/>
      <w:bookmarkEnd w:id="12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5983B0"/>
          <w:spacing w:val="0"/>
        </w:rPr>
        <w:t>Cross-site request forgery</w:t>
      </w:r>
    </w:p>
    <w:p>
      <w:pPr>
        <w:pStyle w:val="Heading3"/>
        <w:rPr>
          <w:color w:val="5983B0"/>
        </w:rPr>
      </w:pPr>
      <w:bookmarkStart w:id="13" w:name="_Toc1600505181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5983B0"/>
          <w:spacing w:val="0"/>
        </w:rPr>
        <w:t>Metod napada:</w:t>
      </w:r>
      <w:bookmarkEnd w:id="13"/>
    </w:p>
    <w:p>
      <w:pPr>
        <w:pStyle w:val="Normal"/>
        <w:rPr>
          <w:color w:val="00000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</w:rPr>
        <w:t>U sklopu csrf-exploit direktorijuma nalazi se index.html fajl i u njemu je implementirana funkcija exploit().</w:t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427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akon implementacije ove funkcije u terminalu se pozicioniramo u csrf-exploit direktorijum i komandom n</w:t>
      </w:r>
      <w:r>
        <w:rPr>
          <w:color w:val="000000"/>
          <w:sz w:val="24"/>
          <w:szCs w:val="24"/>
        </w:rPr>
        <w:t>pm</w:t>
      </w:r>
      <w:r>
        <w:rPr>
          <w:color w:val="000000"/>
          <w:sz w:val="24"/>
          <w:szCs w:val="24"/>
        </w:rPr>
        <w:t xml:space="preserve"> start pokre</w:t>
      </w:r>
      <w:r>
        <w:rPr>
          <w:color w:val="000000"/>
          <w:sz w:val="24"/>
          <w:szCs w:val="24"/>
        </w:rPr>
        <w:t>ć</w:t>
      </w:r>
      <w:r>
        <w:rPr>
          <w:color w:val="000000"/>
          <w:sz w:val="24"/>
          <w:szCs w:val="24"/>
        </w:rPr>
        <w:t>emo napada</w:t>
      </w:r>
      <w:r>
        <w:rPr>
          <w:color w:val="000000"/>
          <w:sz w:val="24"/>
          <w:szCs w:val="24"/>
        </w:rPr>
        <w:t>č</w:t>
      </w:r>
      <w:r>
        <w:rPr>
          <w:color w:val="000000"/>
          <w:sz w:val="24"/>
          <w:szCs w:val="24"/>
        </w:rPr>
        <w:t>ev sajt na adresi http://localhost:3000.</w:t>
      </w:r>
    </w:p>
    <w:p>
      <w:pPr>
        <w:pStyle w:val="Heading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6185" cy="250253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>
          <w:color w:val="000000"/>
          <w:sz w:val="24"/>
          <w:szCs w:val="24"/>
        </w:rPr>
        <w:t xml:space="preserve">Pritiskom na pehar u pozadini se šalje zahtev koji menja imena korisnika </w:t>
      </w:r>
      <w:r>
        <w:rPr>
          <w:color w:val="000000"/>
          <w:sz w:val="24"/>
          <w:szCs w:val="24"/>
        </w:rPr>
        <w:t>č</w:t>
      </w:r>
      <w:r>
        <w:rPr>
          <w:color w:val="000000"/>
          <w:sz w:val="24"/>
          <w:szCs w:val="24"/>
        </w:rPr>
        <w:t xml:space="preserve">iji je id = 1.Spisak korisnika pre nego </w:t>
      </w:r>
      <w:r>
        <w:rPr>
          <w:color w:val="000000"/>
          <w:sz w:val="24"/>
          <w:szCs w:val="24"/>
        </w:rPr>
        <w:t>š</w:t>
      </w:r>
      <w:r>
        <w:rPr>
          <w:color w:val="000000"/>
          <w:sz w:val="24"/>
          <w:szCs w:val="24"/>
        </w:rPr>
        <w:t>to izvr</w:t>
      </w:r>
      <w:r>
        <w:rPr>
          <w:color w:val="000000"/>
          <w:sz w:val="24"/>
          <w:szCs w:val="24"/>
        </w:rPr>
        <w:t>š</w:t>
      </w:r>
      <w:r>
        <w:rPr>
          <w:color w:val="000000"/>
          <w:sz w:val="24"/>
          <w:szCs w:val="24"/>
        </w:rPr>
        <w:t>imo napad:</w:t>
      </w:r>
    </w:p>
    <w:p>
      <w:pPr>
        <w:pStyle w:val="Normal"/>
        <w:rPr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56460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Spisak korisnika nakon </w:t>
      </w:r>
      <w:r>
        <w:rPr>
          <w:color w:val="000000"/>
          <w:sz w:val="24"/>
          <w:szCs w:val="24"/>
        </w:rPr>
        <w:t>š</w:t>
      </w:r>
      <w:r>
        <w:rPr>
          <w:color w:val="000000"/>
          <w:sz w:val="24"/>
          <w:szCs w:val="24"/>
        </w:rPr>
        <w:t>to izvr</w:t>
      </w:r>
      <w:r>
        <w:rPr>
          <w:color w:val="000000"/>
          <w:sz w:val="24"/>
          <w:szCs w:val="24"/>
        </w:rPr>
        <w:t>š</w:t>
      </w:r>
      <w:r>
        <w:rPr>
          <w:color w:val="000000"/>
          <w:sz w:val="24"/>
          <w:szCs w:val="24"/>
        </w:rPr>
        <w:t>imo napad:</w:t>
      </w:r>
    </w:p>
    <w:p>
      <w:pPr>
        <w:pStyle w:val="Normal"/>
        <w:rPr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494030</wp:posOffset>
            </wp:positionH>
            <wp:positionV relativeFrom="paragraph">
              <wp:posOffset>227330</wp:posOffset>
            </wp:positionV>
            <wp:extent cx="5237480" cy="198056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2"/>
        <w:rPr/>
      </w:pPr>
      <w:bookmarkStart w:id="14" w:name="_Toc1600505191"/>
      <w:r>
        <w:rPr/>
        <w:t>Predlog odbrane:</w:t>
      </w:r>
      <w:bookmarkEnd w:id="14"/>
    </w:p>
    <w:p>
      <w:pPr>
        <w:pStyle w:val="Normal"/>
        <w:rPr/>
      </w:pPr>
      <w:r>
        <w:rPr/>
        <w:t>Odbranu vr</w:t>
      </w:r>
      <w:r>
        <w:rPr/>
        <w:t>š</w:t>
      </w:r>
      <w:r>
        <w:rPr/>
        <w:t xml:space="preserve">imo tako </w:t>
      </w:r>
      <w:r>
        <w:rPr/>
        <w:t>š</w:t>
      </w:r>
      <w:r>
        <w:rPr/>
        <w:t>to u klasi PersonController i metodi person čitamo token iz sesije i upisujemo ga u model, a u metodi updatePerson dohvatamo vrednost CSRF tokena koji je poslat sa formom i upore</w:t>
      </w:r>
      <w:r>
        <w:rPr/>
        <w:t>đ</w:t>
      </w:r>
      <w:r>
        <w:rPr/>
        <w:t>ujemo ga sa onim koji se nalazi u sesiji. U formi za promenu detalja korisnika, dodajemo input element koji će sadržati vrednost CSRF tokena. Sada ukoliko poku</w:t>
      </w:r>
      <w:r>
        <w:rPr/>
        <w:t>š</w:t>
      </w:r>
      <w:r>
        <w:rPr/>
        <w:t>amo da izvr</w:t>
      </w:r>
      <w:r>
        <w:rPr/>
        <w:t>š</w:t>
      </w:r>
      <w:r>
        <w:rPr/>
        <w:t>imo napad, klikom na pehar bi</w:t>
      </w:r>
      <w:r>
        <w:rPr/>
        <w:t>ć</w:t>
      </w:r>
      <w:r>
        <w:rPr/>
        <w:t>e nam prikazano slede</w:t>
      </w:r>
      <w:r>
        <w:rPr/>
        <w:t>ć</w:t>
      </w:r>
      <w:r>
        <w:rPr/>
        <w:t>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6624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Tako</w:t>
      </w:r>
      <w:r>
        <w:rPr>
          <w:color w:val="000000"/>
          <w:sz w:val="24"/>
          <w:szCs w:val="24"/>
        </w:rPr>
        <w:t>đ</w:t>
      </w:r>
      <w:r>
        <w:rPr>
          <w:color w:val="000000"/>
          <w:sz w:val="24"/>
          <w:szCs w:val="24"/>
        </w:rPr>
        <w:t xml:space="preserve">e i spisak korisnika </w:t>
      </w:r>
      <w:r>
        <w:rPr>
          <w:color w:val="000000"/>
          <w:sz w:val="24"/>
          <w:szCs w:val="24"/>
        </w:rPr>
        <w:t>ć</w:t>
      </w:r>
      <w:r>
        <w:rPr>
          <w:color w:val="000000"/>
          <w:sz w:val="24"/>
          <w:szCs w:val="24"/>
        </w:rPr>
        <w:t>e ostati nepromenjen.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564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cnfStyle w:val="000000000000" w:firstRow="0" w:lastRow="0" w:firstColumn="0" w:lastColumn="0" w:oddVBand="0" w:evenVBand="0" w:oddHBand="0" w:evenHBand="0" w:firstRowFirstColumn="0" w:firstRowLastColumn="0" w:lastRowFirstColumn="0" w:lastRowLastColumn="0"/>
        <w:rPr>
          <w:rFonts w:ascii="Aptos" w:hAnsi="Aptos" w:eastAsia="游明朝" w:cs=""/>
          <w:color w:val="5983B0"/>
          <w:kern w:val="2"/>
          <w:sz w:val="32"/>
          <w:szCs w:val="32"/>
          <w:lang w:val="en-US" w:eastAsia="ja-JP" w:bidi="ar-SA"/>
        </w:rPr>
      </w:pPr>
      <w:r>
        <w:rPr>
          <w:rFonts w:eastAsia="游明朝" w:cs=""/>
          <w:color w:val="5983B0"/>
          <w:kern w:val="2"/>
          <w:sz w:val="32"/>
          <w:szCs w:val="32"/>
          <w:lang w:val="en-US" w:eastAsia="ja-JP" w:bidi="ar-SA"/>
        </w:rPr>
        <w:t>Authorization</w:t>
      </w:r>
    </w:p>
    <w:p>
      <w:pPr>
        <w:pStyle w:val="Normal"/>
        <w:rPr/>
      </w:pPr>
      <w:r>
        <w:rPr/>
        <w:t>Potrebno je jasno definisati koji korisnici imaju određena prava u korišćenju aplikacije. Zbog toga u bazu podataka uvodimo model za autorizaciju. Nakon toga učitavamo dozvole i proveravamo ih prilikom pristupa resursima. Na narednim slikama prikazana je aplikacija iz ugla dva korisnika sa različitim privilegijama. Razlika između njih je u tome što prvi korisnik ima mogućnost dodavanja nove knjige, dok drugi tu opciju nema.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-95250</wp:posOffset>
            </wp:positionH>
            <wp:positionV relativeFrom="paragraph">
              <wp:posOffset>111125</wp:posOffset>
            </wp:positionV>
            <wp:extent cx="5731510" cy="277622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6540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5983B0"/>
          <w:sz w:val="32"/>
          <w:szCs w:val="32"/>
        </w:rPr>
      </w:pPr>
      <w:r>
        <w:rPr>
          <w:color w:val="5983B0"/>
          <w:sz w:val="32"/>
          <w:szCs w:val="32"/>
        </w:rPr>
        <w:t>DevOps</w:t>
      </w:r>
    </w:p>
    <w:p>
      <w:pPr>
        <w:pStyle w:val="Normal"/>
        <w:rPr>
          <w:color w:val="5983B0"/>
          <w:sz w:val="32"/>
          <w:szCs w:val="32"/>
        </w:rPr>
      </w:pPr>
      <w:r>
        <w:rPr>
          <w:b w:val="false"/>
          <w:bCs w:val="false"/>
          <w:color w:val="000000"/>
          <w:sz w:val="24"/>
          <w:szCs w:val="24"/>
        </w:rPr>
        <w:t xml:space="preserve">U sistem smo uveli </w:t>
      </w:r>
      <w:r>
        <w:rPr>
          <w:rStyle w:val="StrongEmphasis"/>
          <w:b w:val="false"/>
          <w:bCs w:val="false"/>
          <w:color w:val="000000"/>
          <w:sz w:val="24"/>
          <w:szCs w:val="24"/>
        </w:rPr>
        <w:t>logging</w:t>
      </w:r>
      <w:r>
        <w:rPr>
          <w:b w:val="false"/>
          <w:bCs w:val="false"/>
          <w:color w:val="000000"/>
          <w:sz w:val="24"/>
          <w:szCs w:val="24"/>
        </w:rPr>
        <w:t xml:space="preserve"> i </w:t>
      </w:r>
      <w:r>
        <w:rPr>
          <w:rStyle w:val="StrongEmphasis"/>
          <w:b w:val="false"/>
          <w:bCs w:val="false"/>
          <w:color w:val="000000"/>
          <w:sz w:val="24"/>
          <w:szCs w:val="24"/>
        </w:rPr>
        <w:t>auditing</w:t>
      </w:r>
      <w:r>
        <w:rPr>
          <w:b w:val="false"/>
          <w:bCs w:val="false"/>
          <w:color w:val="000000"/>
          <w:sz w:val="24"/>
          <w:szCs w:val="24"/>
        </w:rPr>
        <w:t xml:space="preserve"> kako bismo olakšali detekciju i analizu grešaka. Na ovaj način programeri mogu jednostavnije da uoče kada je do problema došlo i da preciznije identifikuju njegov uzrok.</w:t>
      </w:r>
    </w:p>
    <w:p>
      <w:pPr>
        <w:pStyle w:val="Heading1"/>
        <w:rPr/>
      </w:pPr>
      <w:bookmarkStart w:id="15" w:name="_Toc1600505201"/>
      <w:r>
        <w:rPr/>
        <w:t>Zaključak</w:t>
      </w:r>
      <w:bookmarkEnd w:id="15"/>
    </w:p>
    <w:p>
      <w:pPr>
        <w:pStyle w:val="Normal"/>
        <w:spacing w:before="0" w:after="160"/>
        <w:rPr>
          <w:lang w:val="sr-Latn-RS"/>
        </w:rPr>
      </w:pPr>
      <w:r>
        <w:rPr/>
        <w:t>Do napada je došlo zbog propusta u kodu koji su se mogli relativno jednostavno sprečiti. Preporuka je da se izvrši dodatna provera ostatka projekta kako bi se utvrdilo da li postoje slične ranjivosti.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游ゴシック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游ゴシック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游ゴシック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游ゴシック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游ゴシック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游ゴシック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eastAsia="en-US" w:val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1">
    <w:name w:val="LO-normal"/>
    <w:qFormat/>
    <w:pPr>
      <w:widowControl/>
      <w:bidi w:val="0"/>
      <w:spacing w:lineRule="auto" w:line="276" w:before="0" w:after="160"/>
      <w:jc w:val="lef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4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4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4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glossaryDocument" Target="glossary/document.xml"/><Relationship Id="rId25" Type="http://schemas.openxmlformats.org/officeDocument/2006/relationships/customXml" Target="../customXml/item1.xml"/><Relationship Id="rId26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LibreOffice/7.3.7.2$Linux_X86_64 LibreOffice_project/30$Build-2</Application>
  <AppVersion>15.0000</AppVersion>
  <Pages>14</Pages>
  <Words>663</Words>
  <Characters>3908</Characters>
  <CharactersWithSpaces>4457</CharactersWithSpaces>
  <Paragraphs>103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2025-09-11T00:17:07Z</dcterms:modified>
  <cp:revision>12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