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C08" w:rsidRPr="00DB253F" w:rsidRDefault="00077EDC" w:rsidP="00DB253F">
      <w:pPr>
        <w:jc w:val="center"/>
        <w:rPr>
          <w:b/>
          <w:sz w:val="28"/>
          <w:szCs w:val="28"/>
          <w:lang w:val="fr-SN"/>
        </w:rPr>
      </w:pPr>
      <w:r w:rsidRPr="00DB253F">
        <w:rPr>
          <w:b/>
          <w:sz w:val="28"/>
          <w:szCs w:val="28"/>
          <w:bdr w:val="thickThinSmallGap" w:sz="24" w:space="0" w:color="auto" w:frame="1"/>
          <w:shd w:val="clear" w:color="auto" w:fill="000000" w:themeFill="text1"/>
          <w:lang w:val="fr-SN"/>
        </w:rPr>
        <w:t>GESTION DU RISQUE DANS LE TRANSPORT ROUTIER</w:t>
      </w:r>
    </w:p>
    <w:p w:rsidR="00077EDC" w:rsidRDefault="00077EDC">
      <w:pPr>
        <w:rPr>
          <w:lang w:val="fr-SN"/>
        </w:rPr>
        <w:sectPr w:rsidR="00077EDC">
          <w:pgSz w:w="11906" w:h="16838"/>
          <w:pgMar w:top="1440" w:right="1800" w:bottom="1440" w:left="1800" w:header="708" w:footer="708" w:gutter="0"/>
          <w:cols w:space="708"/>
          <w:docGrid w:linePitch="360"/>
        </w:sectPr>
      </w:pPr>
    </w:p>
    <w:p w:rsidR="00DB253F" w:rsidRPr="00DB253F" w:rsidRDefault="00DB253F" w:rsidP="00DB253F">
      <w:pPr>
        <w:keepNext/>
        <w:framePr w:dropCap="drop" w:lines="3" w:wrap="around" w:vAnchor="text" w:hAnchor="text"/>
        <w:spacing w:after="0" w:line="869" w:lineRule="exact"/>
        <w:textAlignment w:val="baseline"/>
        <w:rPr>
          <w:rFonts w:ascii="Monotype Corsiva" w:hAnsi="Monotype Corsiva"/>
          <w:position w:val="-7"/>
          <w:sz w:val="122"/>
          <w:lang w:val="fr-SN"/>
        </w:rPr>
      </w:pPr>
      <w:r w:rsidRPr="00DB253F">
        <w:rPr>
          <w:rFonts w:ascii="Monotype Corsiva" w:hAnsi="Monotype Corsiva"/>
          <w:position w:val="-7"/>
          <w:sz w:val="122"/>
          <w:lang w:val="fr-SN"/>
        </w:rPr>
        <w:t>L</w:t>
      </w:r>
    </w:p>
    <w:p w:rsidR="008F676B" w:rsidRDefault="00077EDC" w:rsidP="008F676B">
      <w:pPr>
        <w:spacing w:after="0"/>
        <w:rPr>
          <w:lang w:val="fr-SN"/>
        </w:rPr>
      </w:pPr>
      <w:r>
        <w:rPr>
          <w:lang w:val="fr-SN"/>
        </w:rPr>
        <w:t xml:space="preserve">es entreprises de transport routier sont confrontées dans le monde entier à une série de problèmes dynamiques liés au risque. </w:t>
      </w:r>
    </w:p>
    <w:p w:rsidR="00077EDC" w:rsidRDefault="00077EDC" w:rsidP="008F676B">
      <w:pPr>
        <w:spacing w:after="0"/>
        <w:rPr>
          <w:lang w:val="fr-SN"/>
        </w:rPr>
        <w:sectPr w:rsidR="00077EDC" w:rsidSect="00077EDC">
          <w:type w:val="continuous"/>
          <w:pgSz w:w="11906" w:h="16838"/>
          <w:pgMar w:top="1440" w:right="1800" w:bottom="1440" w:left="1800" w:header="708" w:footer="708" w:gutter="0"/>
          <w:cols w:num="3" w:space="709"/>
          <w:docGrid w:linePitch="360"/>
        </w:sectPr>
      </w:pPr>
      <w:r w:rsidRPr="008F676B">
        <w:rPr>
          <w:bdr w:val="single" w:sz="6" w:space="0" w:color="auto"/>
          <w:lang w:val="fr-SN"/>
        </w:rPr>
        <w:t>Les experts d’Aon en matière de gestion de risque dans le domaine du transport routier ont une compréhension de</w:t>
      </w:r>
      <w:r w:rsidRPr="008F676B">
        <w:rPr>
          <w:bdr w:val="single" w:sz="6" w:space="0" w:color="auto"/>
          <w:lang w:val="fr-SN"/>
        </w:rPr>
        <w:br w:type="column"/>
      </w:r>
      <w:r w:rsidRPr="008F676B">
        <w:rPr>
          <w:bdr w:val="single" w:sz="6" w:space="0" w:color="auto"/>
          <w:lang w:val="fr-SN"/>
        </w:rPr>
        <w:lastRenderedPageBreak/>
        <w:t>ces problèmes complexes sur les plans légaux et culturels qui sont pris en compte par les firmes de leur stratégie et de leur approche du risque.</w:t>
      </w:r>
      <w:r>
        <w:rPr>
          <w:lang w:val="fr-SN"/>
        </w:rPr>
        <w:t xml:space="preserve"> Nos experts travaillent sur une gamme étendue de problèmes qui vont de l’anticipation de pertes</w:t>
      </w:r>
      <w:r>
        <w:rPr>
          <w:lang w:val="fr-SN"/>
        </w:rPr>
        <w:br w:type="column"/>
      </w:r>
      <w:r>
        <w:rPr>
          <w:lang w:val="fr-SN"/>
        </w:rPr>
        <w:lastRenderedPageBreak/>
        <w:t>aux rétentions, fournisseurs collatéraux et de services, pour fournir aux clients des solutions créatives de produits d’assurance avec le support d’une firme leader en conseil de risque dans le secteur de la logistique et de gestion de fret.</w:t>
      </w:r>
    </w:p>
    <w:p w:rsidR="00077EDC" w:rsidRPr="008F676B" w:rsidRDefault="00077EDC" w:rsidP="008F676B">
      <w:pPr>
        <w:pBdr>
          <w:top w:val="thinThickSmallGap" w:sz="24" w:space="1" w:color="auto"/>
          <w:left w:val="thinThickSmallGap" w:sz="24" w:space="4" w:color="auto"/>
          <w:bottom w:val="thickThinSmallGap" w:sz="24" w:space="1" w:color="auto"/>
          <w:right w:val="thickThinSmallGap" w:sz="24" w:space="4" w:color="auto"/>
        </w:pBdr>
        <w:jc w:val="center"/>
        <w:rPr>
          <w:sz w:val="28"/>
          <w:szCs w:val="28"/>
          <w:lang w:val="fr-SN"/>
        </w:rPr>
      </w:pPr>
      <w:r w:rsidRPr="008F676B">
        <w:rPr>
          <w:sz w:val="28"/>
          <w:szCs w:val="28"/>
          <w:lang w:val="fr-SN"/>
        </w:rPr>
        <w:lastRenderedPageBreak/>
        <w:t>POURQUOI AON</w:t>
      </w:r>
    </w:p>
    <w:p w:rsidR="00F4065D" w:rsidRDefault="00F4065D">
      <w:pPr>
        <w:rPr>
          <w:lang w:val="fr-SN"/>
        </w:rPr>
        <w:sectPr w:rsidR="00F4065D" w:rsidSect="00077EDC">
          <w:type w:val="continuous"/>
          <w:pgSz w:w="11906" w:h="16838"/>
          <w:pgMar w:top="1440" w:right="1800" w:bottom="1440" w:left="1800" w:header="708" w:footer="708" w:gutter="0"/>
          <w:cols w:space="709"/>
          <w:docGrid w:linePitch="360"/>
        </w:sectPr>
      </w:pPr>
    </w:p>
    <w:p w:rsidR="008F676B" w:rsidRPr="008F676B" w:rsidRDefault="008F676B" w:rsidP="008F676B">
      <w:pPr>
        <w:keepNext/>
        <w:framePr w:dropCap="drop" w:lines="2" w:w="451" w:wrap="around" w:vAnchor="text" w:hAnchor="text"/>
        <w:pBdr>
          <w:top w:val="single" w:sz="6" w:space="1" w:color="auto"/>
          <w:left w:val="single" w:sz="6" w:space="4" w:color="auto"/>
          <w:bottom w:val="single" w:sz="6" w:space="1" w:color="auto"/>
          <w:right w:val="single" w:sz="6" w:space="4" w:color="auto"/>
        </w:pBdr>
        <w:spacing w:after="0" w:line="471" w:lineRule="exact"/>
        <w:jc w:val="both"/>
        <w:textAlignment w:val="baseline"/>
        <w:rPr>
          <w:rFonts w:ascii="Algerian" w:hAnsi="Algerian"/>
          <w:i/>
          <w:position w:val="-1"/>
          <w:sz w:val="51"/>
          <w:lang w:val="fr-SN"/>
        </w:rPr>
      </w:pPr>
      <w:r w:rsidRPr="008F676B">
        <w:rPr>
          <w:rFonts w:ascii="Algerian" w:hAnsi="Algerian"/>
          <w:i/>
          <w:position w:val="-1"/>
          <w:sz w:val="51"/>
          <w:lang w:val="fr-SN"/>
        </w:rPr>
        <w:t>A</w:t>
      </w:r>
    </w:p>
    <w:p w:rsidR="006E4124" w:rsidRDefault="00F4065D" w:rsidP="008F676B">
      <w:pPr>
        <w:pBdr>
          <w:top w:val="single" w:sz="6" w:space="1" w:color="auto"/>
          <w:left w:val="single" w:sz="6" w:space="4" w:color="auto"/>
          <w:bottom w:val="single" w:sz="6" w:space="1" w:color="auto"/>
          <w:right w:val="single" w:sz="6" w:space="4" w:color="auto"/>
        </w:pBdr>
        <w:jc w:val="both"/>
        <w:rPr>
          <w:lang w:val="fr-SN"/>
        </w:rPr>
      </w:pPr>
      <w:r>
        <w:rPr>
          <w:lang w:val="fr-SN"/>
        </w:rPr>
        <w:t>on est le leader pour ce qui concerne les services de courtage aux firmes de transport routier de toutes tailles. Notre groupe de spécialistes peut fournir une analyse exhaustive, des outils de marketing, de contrôle de risque, de gestion des sinistres, et le service au client ; Aon l’une des premières firmes de réassurance du monde. L’équipe d’expert en transport routier d’Aon est un partenaire consultant qui élabore un programme d’assurance et de gestion de risque pour répondre aux objectifs de votre entreprise.</w:t>
      </w:r>
    </w:p>
    <w:p w:rsidR="006E4124" w:rsidRDefault="006E4124">
      <w:pPr>
        <w:rPr>
          <w:lang w:val="fr-SN"/>
        </w:rPr>
      </w:pPr>
    </w:p>
    <w:p w:rsidR="006E4124" w:rsidRPr="008F676B" w:rsidRDefault="006E4124" w:rsidP="00827107">
      <w:pPr>
        <w:pBdr>
          <w:top w:val="single" w:sz="6" w:space="1" w:color="auto"/>
          <w:left w:val="single" w:sz="6" w:space="4" w:color="auto"/>
          <w:bottom w:val="single" w:sz="6" w:space="1" w:color="auto"/>
          <w:right w:val="single" w:sz="6" w:space="4" w:color="auto"/>
        </w:pBdr>
        <w:jc w:val="center"/>
        <w:rPr>
          <w:rFonts w:ascii="Baskerville Old Face" w:hAnsi="Baskerville Old Face"/>
          <w:lang w:val="fr-SN"/>
        </w:rPr>
      </w:pPr>
      <w:r w:rsidRPr="008F676B">
        <w:rPr>
          <w:rFonts w:ascii="Baskerville Old Face" w:hAnsi="Baskerville Old Face"/>
          <w:lang w:val="fr-SN"/>
        </w:rPr>
        <w:t>SPECIALISATION ET EXPERTISE</w:t>
      </w:r>
    </w:p>
    <w:p w:rsidR="00827107" w:rsidRDefault="006E4124" w:rsidP="00827107">
      <w:pPr>
        <w:jc w:val="both"/>
        <w:rPr>
          <w:lang w:val="fr-SN"/>
        </w:rPr>
      </w:pPr>
      <w:r>
        <w:rPr>
          <w:lang w:val="fr-SN"/>
        </w:rPr>
        <w:t>Les spécialistes de gestion de risque  et du secteur du transport routier d’Aon sont dédiés uniquement au secteur du transport et ont une expérience reconnue en ce qui concerne L’amélioration des programmes pour le client et le coût du risque.</w:t>
      </w:r>
    </w:p>
    <w:p w:rsidR="00F4065D" w:rsidRDefault="00827107" w:rsidP="00827107">
      <w:pPr>
        <w:jc w:val="both"/>
        <w:rPr>
          <w:lang w:val="fr-SN"/>
        </w:rPr>
      </w:pPr>
      <w:r>
        <w:rPr>
          <w:lang w:val="fr-SN"/>
        </w:rPr>
        <w:br w:type="column"/>
      </w:r>
      <w:r w:rsidR="00F4065D">
        <w:rPr>
          <w:lang w:val="fr-SN"/>
        </w:rPr>
        <w:lastRenderedPageBreak/>
        <w:t>Aon possède la technologie primée permettent à nos spécialistes de disposer des informations et de la performance pour obtenir une gestion de programmes d’assurance de haut niveau.</w:t>
      </w:r>
    </w:p>
    <w:p w:rsidR="00F4065D" w:rsidRDefault="00F4065D">
      <w:pPr>
        <w:rPr>
          <w:lang w:val="fr-SN"/>
        </w:rPr>
      </w:pPr>
    </w:p>
    <w:p w:rsidR="00F4065D" w:rsidRPr="00827107" w:rsidRDefault="00F4065D">
      <w:pPr>
        <w:rPr>
          <w:rFonts w:ascii="Lucida Calligraphy" w:hAnsi="Lucida Calligraphy"/>
          <w:i/>
          <w:lang w:val="fr-SN"/>
        </w:rPr>
      </w:pPr>
      <w:r w:rsidRPr="00827107">
        <w:rPr>
          <w:rFonts w:ascii="Lucida Calligraphy" w:hAnsi="Lucida Calligraphy"/>
          <w:i/>
          <w:bdr w:val="single" w:sz="6" w:space="0" w:color="auto"/>
          <w:lang w:val="fr-SN"/>
        </w:rPr>
        <w:t>INNOVAT</w:t>
      </w:r>
      <w:r w:rsidR="00827107" w:rsidRPr="00827107">
        <w:rPr>
          <w:rFonts w:ascii="Lucida Calligraphy" w:hAnsi="Lucida Calligraphy"/>
          <w:i/>
          <w:bdr w:val="single" w:sz="6" w:space="0" w:color="auto"/>
          <w:lang w:val="fr-SN"/>
        </w:rPr>
        <w:t>ION</w:t>
      </w:r>
    </w:p>
    <w:p w:rsidR="006E4124" w:rsidRDefault="00F4065D" w:rsidP="00827107">
      <w:pPr>
        <w:pBdr>
          <w:top w:val="single" w:sz="6" w:space="1" w:color="auto"/>
          <w:left w:val="single" w:sz="6" w:space="4" w:color="auto"/>
          <w:bottom w:val="single" w:sz="6" w:space="1" w:color="auto"/>
          <w:right w:val="single" w:sz="6" w:space="4" w:color="auto"/>
        </w:pBdr>
        <w:jc w:val="both"/>
        <w:rPr>
          <w:lang w:val="fr-SN"/>
        </w:rPr>
        <w:sectPr w:rsidR="006E4124" w:rsidSect="00DB253F">
          <w:type w:val="continuous"/>
          <w:pgSz w:w="11906" w:h="16838"/>
          <w:pgMar w:top="1440" w:right="1800" w:bottom="1440" w:left="1800" w:header="708" w:footer="708" w:gutter="0"/>
          <w:cols w:num="2" w:space="708" w:equalWidth="0">
            <w:col w:w="5300" w:space="708"/>
            <w:col w:w="2296"/>
          </w:cols>
          <w:docGrid w:linePitch="360"/>
        </w:sectPr>
      </w:pPr>
      <w:r>
        <w:rPr>
          <w:lang w:val="fr-SN"/>
        </w:rPr>
        <w:t xml:space="preserve">Aon est le développeur et le courtier exclusif de Big Wheel, un group captif de firmes de transport routier </w:t>
      </w:r>
      <w:r w:rsidR="006E4124">
        <w:rPr>
          <w:lang w:val="fr-SN"/>
        </w:rPr>
        <w:t>regroupant</w:t>
      </w:r>
      <w:r>
        <w:rPr>
          <w:lang w:val="fr-SN"/>
        </w:rPr>
        <w:t xml:space="preserve"> des opérateurs</w:t>
      </w:r>
      <w:r w:rsidR="006E4124">
        <w:rPr>
          <w:lang w:val="fr-SN"/>
        </w:rPr>
        <w:t xml:space="preserve"> propriétaires de leur véhicule.</w:t>
      </w:r>
    </w:p>
    <w:p w:rsidR="00F4065D" w:rsidRPr="004B7673" w:rsidRDefault="006E4124" w:rsidP="004B7673">
      <w:pPr>
        <w:jc w:val="center"/>
        <w:rPr>
          <w:rFonts w:ascii="Algerian" w:hAnsi="Algerian"/>
          <w:b/>
          <w:i/>
          <w:sz w:val="24"/>
          <w:szCs w:val="24"/>
          <w:u w:val="words"/>
          <w:lang w:val="fr-SN"/>
        </w:rPr>
      </w:pPr>
      <w:r w:rsidRPr="004B7673">
        <w:rPr>
          <w:rFonts w:ascii="Algerian" w:hAnsi="Algerian"/>
          <w:b/>
          <w:i/>
          <w:sz w:val="24"/>
          <w:szCs w:val="24"/>
          <w:u w:val="words"/>
          <w:lang w:val="fr-SN"/>
        </w:rPr>
        <w:lastRenderedPageBreak/>
        <w:t>AON ET BIG WHEEL</w:t>
      </w:r>
      <w:bookmarkStart w:id="0" w:name="_GoBack"/>
      <w:bookmarkEnd w:id="0"/>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55"/>
        <w:gridCol w:w="1655"/>
        <w:gridCol w:w="1655"/>
        <w:gridCol w:w="1655"/>
        <w:gridCol w:w="1656"/>
      </w:tblGrid>
      <w:tr w:rsidR="006E4124" w:rsidTr="004B7673">
        <w:tc>
          <w:tcPr>
            <w:tcW w:w="8296" w:type="dxa"/>
            <w:gridSpan w:val="5"/>
          </w:tcPr>
          <w:p w:rsidR="006E4124" w:rsidRPr="004B7673" w:rsidRDefault="006E4124" w:rsidP="004B7673">
            <w:pPr>
              <w:jc w:val="center"/>
              <w:rPr>
                <w:b/>
                <w:sz w:val="32"/>
                <w:szCs w:val="32"/>
                <w:lang w:val="fr-SN"/>
              </w:rPr>
            </w:pPr>
            <w:r w:rsidRPr="004B7673">
              <w:rPr>
                <w:b/>
                <w:sz w:val="32"/>
                <w:szCs w:val="32"/>
                <w:lang w:val="fr-SN"/>
              </w:rPr>
              <w:t>ENTREPRISES DE TRANSPORT ROUTIER</w:t>
            </w:r>
          </w:p>
        </w:tc>
      </w:tr>
      <w:tr w:rsidR="004B7673" w:rsidTr="004B7673">
        <w:tc>
          <w:tcPr>
            <w:tcW w:w="1659" w:type="dxa"/>
            <w:vMerge w:val="restart"/>
            <w:textDirection w:val="btLr"/>
          </w:tcPr>
          <w:p w:rsidR="004B7673" w:rsidRPr="004B7673" w:rsidRDefault="004B7673" w:rsidP="006E4124">
            <w:pPr>
              <w:ind w:left="113" w:right="113"/>
              <w:rPr>
                <w:b/>
                <w:i/>
                <w:lang w:val="fr-SN"/>
              </w:rPr>
            </w:pPr>
            <w:r w:rsidRPr="004B7673">
              <w:rPr>
                <w:b/>
                <w:i/>
                <w:lang w:val="fr-SN"/>
              </w:rPr>
              <w:t>EXPERT D’AON</w:t>
            </w:r>
          </w:p>
        </w:tc>
        <w:tc>
          <w:tcPr>
            <w:tcW w:w="1659" w:type="dxa"/>
          </w:tcPr>
          <w:p w:rsidR="004B7673" w:rsidRPr="004B7673" w:rsidRDefault="004B7673" w:rsidP="004B7673">
            <w:pPr>
              <w:jc w:val="center"/>
              <w:rPr>
                <w:b/>
                <w:lang w:val="fr-SN"/>
              </w:rPr>
            </w:pPr>
            <w:r w:rsidRPr="004B7673">
              <w:rPr>
                <w:b/>
                <w:lang w:val="fr-SN"/>
              </w:rPr>
              <w:t>Risque A/CAS</w:t>
            </w:r>
          </w:p>
        </w:tc>
        <w:tc>
          <w:tcPr>
            <w:tcW w:w="1659" w:type="dxa"/>
          </w:tcPr>
          <w:p w:rsidR="004B7673" w:rsidRPr="004B7673" w:rsidRDefault="004B7673" w:rsidP="004B7673">
            <w:pPr>
              <w:jc w:val="center"/>
              <w:rPr>
                <w:b/>
                <w:lang w:val="fr-SN"/>
              </w:rPr>
            </w:pPr>
            <w:r w:rsidRPr="004B7673">
              <w:rPr>
                <w:b/>
                <w:lang w:val="fr-SN"/>
              </w:rPr>
              <w:t>Risque B/CAS</w:t>
            </w:r>
          </w:p>
        </w:tc>
        <w:tc>
          <w:tcPr>
            <w:tcW w:w="3319" w:type="dxa"/>
            <w:gridSpan w:val="2"/>
          </w:tcPr>
          <w:p w:rsidR="004B7673" w:rsidRDefault="004B7673">
            <w:pPr>
              <w:rPr>
                <w:lang w:val="fr-SN"/>
              </w:rPr>
            </w:pPr>
            <w:r>
              <w:rPr>
                <w:lang w:val="fr-SN"/>
              </w:rPr>
              <w:t>Fait à Dakar, le 01/mars/2012</w:t>
            </w:r>
          </w:p>
        </w:tc>
      </w:tr>
      <w:tr w:rsidR="006E4124" w:rsidTr="004B7673">
        <w:tc>
          <w:tcPr>
            <w:tcW w:w="1659" w:type="dxa"/>
            <w:vMerge/>
          </w:tcPr>
          <w:p w:rsidR="006E4124" w:rsidRDefault="006E4124">
            <w:pPr>
              <w:rPr>
                <w:lang w:val="fr-SN"/>
              </w:rPr>
            </w:pPr>
          </w:p>
        </w:tc>
        <w:tc>
          <w:tcPr>
            <w:tcW w:w="1659" w:type="dxa"/>
          </w:tcPr>
          <w:p w:rsidR="006E4124" w:rsidRDefault="004B7673" w:rsidP="004B7673">
            <w:pPr>
              <w:jc w:val="center"/>
              <w:rPr>
                <w:lang w:val="fr-SN"/>
              </w:rPr>
            </w:pPr>
            <w:r>
              <w:rPr>
                <w:lang w:val="fr-SN"/>
              </w:rPr>
              <w:t>25</w:t>
            </w:r>
          </w:p>
        </w:tc>
        <w:tc>
          <w:tcPr>
            <w:tcW w:w="1659" w:type="dxa"/>
          </w:tcPr>
          <w:p w:rsidR="006E4124" w:rsidRDefault="004B7673" w:rsidP="004B7673">
            <w:pPr>
              <w:jc w:val="center"/>
              <w:rPr>
                <w:lang w:val="fr-SN"/>
              </w:rPr>
            </w:pPr>
            <w:r>
              <w:rPr>
                <w:lang w:val="fr-SN"/>
              </w:rPr>
              <w:t>28</w:t>
            </w:r>
          </w:p>
        </w:tc>
        <w:tc>
          <w:tcPr>
            <w:tcW w:w="1659" w:type="dxa"/>
          </w:tcPr>
          <w:p w:rsidR="006E4124" w:rsidRPr="004B7673" w:rsidRDefault="004B7673" w:rsidP="004B7673">
            <w:pPr>
              <w:jc w:val="center"/>
              <w:rPr>
                <w:b/>
                <w:lang w:val="fr-SN"/>
              </w:rPr>
            </w:pPr>
            <w:r w:rsidRPr="004B7673">
              <w:rPr>
                <w:b/>
                <w:lang w:val="fr-SN"/>
              </w:rPr>
              <w:t>GROUP AON</w:t>
            </w:r>
          </w:p>
        </w:tc>
        <w:tc>
          <w:tcPr>
            <w:tcW w:w="1660" w:type="dxa"/>
          </w:tcPr>
          <w:p w:rsidR="006E4124" w:rsidRPr="004B7673" w:rsidRDefault="004B7673" w:rsidP="004B7673">
            <w:pPr>
              <w:jc w:val="center"/>
              <w:rPr>
                <w:b/>
                <w:lang w:val="fr-SN"/>
              </w:rPr>
            </w:pPr>
            <w:r w:rsidRPr="004B7673">
              <w:rPr>
                <w:b/>
                <w:lang w:val="fr-SN"/>
              </w:rPr>
              <w:t>BIG WHEEL</w:t>
            </w:r>
          </w:p>
        </w:tc>
      </w:tr>
      <w:tr w:rsidR="004B7673" w:rsidTr="004B7673">
        <w:tc>
          <w:tcPr>
            <w:tcW w:w="1659" w:type="dxa"/>
            <w:vMerge/>
          </w:tcPr>
          <w:p w:rsidR="004B7673" w:rsidRDefault="004B7673">
            <w:pPr>
              <w:rPr>
                <w:lang w:val="fr-SN"/>
              </w:rPr>
            </w:pPr>
          </w:p>
        </w:tc>
        <w:tc>
          <w:tcPr>
            <w:tcW w:w="1659" w:type="dxa"/>
          </w:tcPr>
          <w:p w:rsidR="004B7673" w:rsidRDefault="004B7673" w:rsidP="004B7673">
            <w:pPr>
              <w:jc w:val="center"/>
              <w:rPr>
                <w:lang w:val="fr-SN"/>
              </w:rPr>
            </w:pPr>
            <w:r>
              <w:rPr>
                <w:lang w:val="fr-SN"/>
              </w:rPr>
              <w:t>50</w:t>
            </w:r>
          </w:p>
        </w:tc>
        <w:tc>
          <w:tcPr>
            <w:tcW w:w="1659" w:type="dxa"/>
          </w:tcPr>
          <w:p w:rsidR="004B7673" w:rsidRDefault="004B7673" w:rsidP="004B7673">
            <w:pPr>
              <w:jc w:val="center"/>
              <w:rPr>
                <w:lang w:val="fr-SN"/>
              </w:rPr>
            </w:pPr>
            <w:r>
              <w:rPr>
                <w:lang w:val="fr-SN"/>
              </w:rPr>
              <w:t>31</w:t>
            </w:r>
          </w:p>
        </w:tc>
        <w:tc>
          <w:tcPr>
            <w:tcW w:w="3319" w:type="dxa"/>
            <w:gridSpan w:val="2"/>
          </w:tcPr>
          <w:p w:rsidR="004B7673" w:rsidRDefault="004B7673" w:rsidP="004B7673">
            <w:pPr>
              <w:jc w:val="center"/>
              <w:rPr>
                <w:lang w:val="fr-SN"/>
              </w:rPr>
            </w:pPr>
            <w:r>
              <w:rPr>
                <w:lang w:val="fr-SN"/>
              </w:rPr>
              <w:t>Taux d’Assurance</w:t>
            </w:r>
          </w:p>
        </w:tc>
      </w:tr>
      <w:tr w:rsidR="006E4124" w:rsidTr="004B7673">
        <w:tc>
          <w:tcPr>
            <w:tcW w:w="1659" w:type="dxa"/>
            <w:vMerge/>
          </w:tcPr>
          <w:p w:rsidR="006E4124" w:rsidRDefault="006E4124">
            <w:pPr>
              <w:rPr>
                <w:lang w:val="fr-SN"/>
              </w:rPr>
            </w:pPr>
          </w:p>
        </w:tc>
        <w:tc>
          <w:tcPr>
            <w:tcW w:w="1659" w:type="dxa"/>
          </w:tcPr>
          <w:p w:rsidR="006E4124" w:rsidRDefault="004B7673" w:rsidP="004B7673">
            <w:pPr>
              <w:jc w:val="center"/>
              <w:rPr>
                <w:lang w:val="fr-SN"/>
              </w:rPr>
            </w:pPr>
            <w:r>
              <w:rPr>
                <w:lang w:val="fr-SN"/>
              </w:rPr>
              <w:t>51</w:t>
            </w:r>
          </w:p>
        </w:tc>
        <w:tc>
          <w:tcPr>
            <w:tcW w:w="1659" w:type="dxa"/>
          </w:tcPr>
          <w:p w:rsidR="006E4124" w:rsidRDefault="004B7673" w:rsidP="004B7673">
            <w:pPr>
              <w:jc w:val="center"/>
              <w:rPr>
                <w:lang w:val="fr-SN"/>
              </w:rPr>
            </w:pPr>
            <w:r>
              <w:rPr>
                <w:lang w:val="fr-SN"/>
              </w:rPr>
              <w:t>15</w:t>
            </w:r>
          </w:p>
        </w:tc>
        <w:tc>
          <w:tcPr>
            <w:tcW w:w="1659" w:type="dxa"/>
          </w:tcPr>
          <w:p w:rsidR="006E4124" w:rsidRDefault="004B7673" w:rsidP="004B7673">
            <w:pPr>
              <w:jc w:val="center"/>
              <w:rPr>
                <w:lang w:val="fr-SN"/>
              </w:rPr>
            </w:pPr>
            <w:r>
              <w:rPr>
                <w:lang w:val="fr-SN"/>
              </w:rPr>
              <w:t>7%</w:t>
            </w:r>
          </w:p>
        </w:tc>
        <w:tc>
          <w:tcPr>
            <w:tcW w:w="1660" w:type="dxa"/>
          </w:tcPr>
          <w:p w:rsidR="006E4124" w:rsidRDefault="004B7673" w:rsidP="004B7673">
            <w:pPr>
              <w:jc w:val="center"/>
              <w:rPr>
                <w:lang w:val="fr-SN"/>
              </w:rPr>
            </w:pPr>
            <w:r>
              <w:rPr>
                <w:lang w:val="fr-SN"/>
              </w:rPr>
              <w:t>4%</w:t>
            </w:r>
          </w:p>
        </w:tc>
      </w:tr>
      <w:tr w:rsidR="006E4124" w:rsidTr="004B7673">
        <w:tc>
          <w:tcPr>
            <w:tcW w:w="1659" w:type="dxa"/>
          </w:tcPr>
          <w:p w:rsidR="006E4124" w:rsidRPr="004B7673" w:rsidRDefault="006E4124" w:rsidP="004B7673">
            <w:pPr>
              <w:jc w:val="center"/>
              <w:rPr>
                <w:b/>
                <w:lang w:val="fr-SN"/>
              </w:rPr>
            </w:pPr>
            <w:r w:rsidRPr="004B7673">
              <w:rPr>
                <w:b/>
                <w:lang w:val="fr-SN"/>
              </w:rPr>
              <w:t>Total</w:t>
            </w:r>
          </w:p>
        </w:tc>
        <w:tc>
          <w:tcPr>
            <w:tcW w:w="1659" w:type="dxa"/>
          </w:tcPr>
          <w:p w:rsidR="006E4124" w:rsidRDefault="006E4124">
            <w:pPr>
              <w:rPr>
                <w:lang w:val="fr-SN"/>
              </w:rPr>
            </w:pPr>
          </w:p>
        </w:tc>
        <w:tc>
          <w:tcPr>
            <w:tcW w:w="1659" w:type="dxa"/>
          </w:tcPr>
          <w:p w:rsidR="006E4124" w:rsidRDefault="006E4124">
            <w:pPr>
              <w:rPr>
                <w:lang w:val="fr-SN"/>
              </w:rPr>
            </w:pPr>
          </w:p>
        </w:tc>
        <w:tc>
          <w:tcPr>
            <w:tcW w:w="1659" w:type="dxa"/>
          </w:tcPr>
          <w:p w:rsidR="006E4124" w:rsidRDefault="004B7673" w:rsidP="004B7673">
            <w:pPr>
              <w:jc w:val="center"/>
              <w:rPr>
                <w:lang w:val="fr-SN"/>
              </w:rPr>
            </w:pPr>
            <w:r>
              <w:rPr>
                <w:lang w:val="fr-SN"/>
              </w:rPr>
              <w:t>8%</w:t>
            </w:r>
          </w:p>
        </w:tc>
        <w:tc>
          <w:tcPr>
            <w:tcW w:w="1660" w:type="dxa"/>
          </w:tcPr>
          <w:p w:rsidR="006E4124" w:rsidRDefault="004B7673" w:rsidP="004B7673">
            <w:pPr>
              <w:jc w:val="center"/>
              <w:rPr>
                <w:lang w:val="fr-SN"/>
              </w:rPr>
            </w:pPr>
            <w:r>
              <w:rPr>
                <w:lang w:val="fr-SN"/>
              </w:rPr>
              <w:t>5%</w:t>
            </w:r>
          </w:p>
        </w:tc>
      </w:tr>
    </w:tbl>
    <w:p w:rsidR="006E4124" w:rsidRPr="00077EDC" w:rsidRDefault="006E4124">
      <w:pPr>
        <w:rPr>
          <w:lang w:val="fr-SN"/>
        </w:rPr>
      </w:pPr>
    </w:p>
    <w:sectPr w:rsidR="006E4124" w:rsidRPr="00077EDC" w:rsidSect="006E4124">
      <w:type w:val="continuous"/>
      <w:pgSz w:w="11906" w:h="16838"/>
      <w:pgMar w:top="1440"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EDC"/>
    <w:rsid w:val="00077EDC"/>
    <w:rsid w:val="004B7673"/>
    <w:rsid w:val="006356C3"/>
    <w:rsid w:val="006E4124"/>
    <w:rsid w:val="0082627B"/>
    <w:rsid w:val="00827107"/>
    <w:rsid w:val="008F676B"/>
    <w:rsid w:val="008F7637"/>
    <w:rsid w:val="00923841"/>
    <w:rsid w:val="00927C08"/>
    <w:rsid w:val="009873F9"/>
    <w:rsid w:val="00DB253F"/>
    <w:rsid w:val="00F406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D0209-7878-471F-A5B0-24272D845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E41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329</Words>
  <Characters>1814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2023-02-24T10:16:00Z</dcterms:created>
  <dcterms:modified xsi:type="dcterms:W3CDTF">2023-02-24T11:28:00Z</dcterms:modified>
</cp:coreProperties>
</file>