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C08" w:rsidRPr="0036539E" w:rsidRDefault="000573E8" w:rsidP="0036539E">
      <w:pPr>
        <w:pBdr>
          <w:top w:val="single" w:sz="6" w:space="1" w:color="auto"/>
          <w:left w:val="single" w:sz="6" w:space="4" w:color="auto"/>
          <w:bottom w:val="single" w:sz="6" w:space="1" w:color="auto"/>
          <w:right w:val="single" w:sz="6" w:space="4" w:color="auto"/>
        </w:pBdr>
        <w:shd w:val="clear" w:color="auto" w:fill="D5DCE4" w:themeFill="text2" w:themeFillTint="33"/>
        <w:jc w:val="center"/>
        <w:rPr>
          <w:b/>
          <w:sz w:val="32"/>
          <w:szCs w:val="32"/>
          <w:u w:val="single"/>
          <w:lang w:val="fr-SN"/>
        </w:rPr>
      </w:pPr>
      <w:r w:rsidRPr="0036539E">
        <w:rPr>
          <w:b/>
          <w:sz w:val="32"/>
          <w:szCs w:val="32"/>
          <w:u w:val="single"/>
          <w:lang w:val="fr-SN"/>
        </w:rPr>
        <w:t>PARTIE WORD</w:t>
      </w:r>
    </w:p>
    <w:p w:rsidR="000573E8" w:rsidRPr="0036539E" w:rsidRDefault="000573E8" w:rsidP="0036539E">
      <w:pPr>
        <w:pBdr>
          <w:top w:val="single" w:sz="4" w:space="1" w:color="auto"/>
          <w:left w:val="single" w:sz="4" w:space="4" w:color="auto"/>
          <w:bottom w:val="dashDotStroked" w:sz="24" w:space="1" w:color="auto"/>
          <w:right w:val="single" w:sz="4" w:space="4" w:color="auto"/>
        </w:pBdr>
        <w:shd w:val="clear" w:color="auto" w:fill="F2F2F2" w:themeFill="background1" w:themeFillShade="F2"/>
        <w:rPr>
          <w:b/>
          <w:sz w:val="28"/>
          <w:szCs w:val="28"/>
          <w:lang w:val="fr-SN"/>
        </w:rPr>
      </w:pPr>
      <w:r w:rsidRPr="0036539E">
        <w:rPr>
          <w:b/>
          <w:sz w:val="28"/>
          <w:szCs w:val="28"/>
          <w:lang w:val="fr-SN"/>
        </w:rPr>
        <w:t>L’industrie agroalimentaire du Sénégal, Enjeux et défis majeurs</w:t>
      </w:r>
    </w:p>
    <w:p w:rsidR="000573E8" w:rsidRDefault="000573E8">
      <w:pPr>
        <w:rPr>
          <w:lang w:val="fr-SN"/>
        </w:rPr>
        <w:sectPr w:rsidR="000573E8">
          <w:footerReference w:type="default" r:id="rId7"/>
          <w:pgSz w:w="11906" w:h="16838"/>
          <w:pgMar w:top="1440" w:right="1800" w:bottom="1440" w:left="1800" w:header="708" w:footer="708" w:gutter="0"/>
          <w:cols w:space="708"/>
          <w:docGrid w:linePitch="360"/>
        </w:sectPr>
      </w:pPr>
    </w:p>
    <w:p w:rsidR="0036539E" w:rsidRPr="0036539E" w:rsidRDefault="0036539E" w:rsidP="0036539E">
      <w:pPr>
        <w:keepNext/>
        <w:framePr w:dropCap="drop" w:lines="3" w:wrap="around" w:vAnchor="text" w:hAnchor="text"/>
        <w:spacing w:after="0" w:line="869" w:lineRule="exact"/>
        <w:textAlignment w:val="baseline"/>
        <w:rPr>
          <w:rFonts w:ascii="Arial" w:hAnsi="Arial" w:cs="Arial"/>
          <w:position w:val="-9"/>
          <w:sz w:val="103"/>
          <w:lang w:val="fr-SN"/>
        </w:rPr>
      </w:pPr>
      <w:r w:rsidRPr="0036539E">
        <w:rPr>
          <w:rFonts w:ascii="Arial" w:hAnsi="Arial" w:cs="Arial"/>
          <w:position w:val="-9"/>
          <w:sz w:val="103"/>
          <w:lang w:val="fr-SN"/>
        </w:rPr>
        <w:t>L</w:t>
      </w:r>
    </w:p>
    <w:p w:rsidR="0036539E" w:rsidRDefault="000573E8">
      <w:pPr>
        <w:rPr>
          <w:lang w:val="fr-SN"/>
        </w:rPr>
        <w:sectPr w:rsidR="0036539E" w:rsidSect="000573E8">
          <w:type w:val="continuous"/>
          <w:pgSz w:w="11906" w:h="16838"/>
          <w:pgMar w:top="1440" w:right="1800" w:bottom="1440" w:left="1800" w:header="708" w:footer="708" w:gutter="0"/>
          <w:cols w:num="2" w:sep="1" w:space="708" w:equalWidth="0">
            <w:col w:w="2296" w:space="708"/>
            <w:col w:w="5300"/>
          </w:cols>
          <w:docGrid w:linePitch="360"/>
        </w:sectPr>
      </w:pPr>
      <w:r>
        <w:rPr>
          <w:lang w:val="fr-SN"/>
        </w:rPr>
        <w:t>’industrie agroalimentaire (IAA) est un secteur qui contribue au développement économique du pays. En effet, elle concentre plus du tiers (35,46%) de la production industrielle nationale en 2009 et est créatrice d’emploi et de la</w:t>
      </w:r>
      <w:r>
        <w:rPr>
          <w:lang w:val="fr-SN"/>
        </w:rPr>
        <w:br w:type="column"/>
      </w:r>
      <w:r>
        <w:rPr>
          <w:lang w:val="fr-SN"/>
        </w:rPr>
        <w:lastRenderedPageBreak/>
        <w:t>Valeur ajoutée (38,5%) de la valeur ajoutée globale du secteur industriel. En outre, ses interdépendances vis-à-vis de l’agriculture, de la pêche et de l’élevage et la densification des réseaux de distribution aussi bien dans les zones urbaines que dans la campagne font dudite secteur un véritable pourvoyeur de ressources financières pour une frange importante de la population et constituent par conséquent un moyen de lutte contre la pauvreté</w:t>
      </w:r>
    </w:p>
    <w:p w:rsidR="0036539E" w:rsidRDefault="0036539E">
      <w:pPr>
        <w:rPr>
          <w:lang w:val="fr-SN"/>
        </w:rPr>
      </w:pPr>
    </w:p>
    <w:p w:rsidR="000573E8" w:rsidRDefault="00C1454D">
      <w:pPr>
        <w:rPr>
          <w:lang w:val="fr-SN"/>
        </w:rPr>
      </w:pPr>
      <w:r>
        <w:rPr>
          <w:lang w:val="fr-SN"/>
        </w:rPr>
        <w:t>Pour lever ces contraintes et permettre aux entreprises de faire au tournant décisif de la mondialisation marquée par l’avènement de nouvelles puissances exportatrices telles que les pays émergeants, il convient de mettre en place des politiques devant permettre, entre autres :</w:t>
      </w:r>
    </w:p>
    <w:p w:rsidR="00C1454D" w:rsidRDefault="00C1454D" w:rsidP="00C1454D">
      <w:pPr>
        <w:pStyle w:val="Paragraphedeliste"/>
        <w:numPr>
          <w:ilvl w:val="0"/>
          <w:numId w:val="1"/>
        </w:numPr>
        <w:rPr>
          <w:lang w:val="fr-SN"/>
        </w:rPr>
      </w:pPr>
      <w:r>
        <w:rPr>
          <w:lang w:val="fr-SN"/>
        </w:rPr>
        <w:t>Une meilleure maitrise des technologies de transformations, de conservations et de conditionnement des produits</w:t>
      </w:r>
    </w:p>
    <w:p w:rsidR="00C1454D" w:rsidRDefault="00C1454D" w:rsidP="00C1454D">
      <w:pPr>
        <w:pStyle w:val="Paragraphedeliste"/>
        <w:numPr>
          <w:ilvl w:val="0"/>
          <w:numId w:val="1"/>
        </w:numPr>
        <w:rPr>
          <w:lang w:val="fr-SN"/>
        </w:rPr>
      </w:pPr>
      <w:r>
        <w:rPr>
          <w:lang w:val="fr-SN"/>
        </w:rPr>
        <w:t>L’essor de la recherche &amp; développement</w:t>
      </w:r>
    </w:p>
    <w:p w:rsidR="00C1454D" w:rsidRDefault="00C1454D" w:rsidP="00C1454D">
      <w:pPr>
        <w:pStyle w:val="Paragraphedeliste"/>
        <w:numPr>
          <w:ilvl w:val="0"/>
          <w:numId w:val="1"/>
        </w:numPr>
        <w:rPr>
          <w:lang w:val="fr-SN"/>
        </w:rPr>
      </w:pPr>
      <w:r>
        <w:rPr>
          <w:lang w:val="fr-SN"/>
        </w:rPr>
        <w:t>La facilitation du partenariat entre producteur de matières premières agricoles et transformateurs</w:t>
      </w:r>
    </w:p>
    <w:p w:rsidR="00C1454D" w:rsidRDefault="00C1454D" w:rsidP="00C1454D">
      <w:pPr>
        <w:pStyle w:val="Paragraphedeliste"/>
        <w:numPr>
          <w:ilvl w:val="0"/>
          <w:numId w:val="1"/>
        </w:numPr>
        <w:rPr>
          <w:lang w:val="fr-SN"/>
        </w:rPr>
      </w:pPr>
      <w:r>
        <w:rPr>
          <w:lang w:val="fr-SN"/>
        </w:rPr>
        <w:t>L’accès plus facilement aux financements aussi bien pour les producteurs de matières premières que pour les transformateurs</w:t>
      </w:r>
    </w:p>
    <w:p w:rsidR="00C1454D" w:rsidRPr="0036539E" w:rsidRDefault="00C1454D" w:rsidP="0036539E">
      <w:pPr>
        <w:jc w:val="center"/>
        <w:rPr>
          <w:b/>
          <w:sz w:val="32"/>
          <w:szCs w:val="32"/>
          <w:u w:val="words"/>
          <w:lang w:val="fr-SN"/>
        </w:rPr>
      </w:pPr>
      <w:r w:rsidRPr="0036539E">
        <w:rPr>
          <w:b/>
          <w:sz w:val="32"/>
          <w:szCs w:val="32"/>
          <w:u w:val="words"/>
          <w:lang w:val="fr-SN"/>
        </w:rPr>
        <w:t>PERFORMANCES DES SOUS SECTEURS</w:t>
      </w:r>
      <w:r w:rsidRPr="0036539E">
        <w:rPr>
          <w:b/>
          <w:sz w:val="32"/>
          <w:szCs w:val="32"/>
          <w:u w:val="words"/>
          <w:vertAlign w:val="superscript"/>
          <w:lang w:val="fr-SN"/>
        </w:rPr>
        <w:t>IAA</w:t>
      </w:r>
    </w:p>
    <w:tbl>
      <w:tblPr>
        <w:tblStyle w:val="Grilledutableau"/>
        <w:tblW w:w="0" w:type="auto"/>
        <w:tblBorders>
          <w:insideH w:val="dashDotStroked" w:sz="24" w:space="0" w:color="auto"/>
          <w:insideV w:val="dashDotStroked" w:sz="24" w:space="0" w:color="auto"/>
        </w:tblBorders>
        <w:tblLook w:val="04A0" w:firstRow="1" w:lastRow="0" w:firstColumn="1" w:lastColumn="0" w:noHBand="0" w:noVBand="1"/>
      </w:tblPr>
      <w:tblGrid>
        <w:gridCol w:w="1377"/>
        <w:gridCol w:w="1431"/>
        <w:gridCol w:w="1371"/>
        <w:gridCol w:w="1372"/>
        <w:gridCol w:w="1368"/>
        <w:gridCol w:w="1377"/>
      </w:tblGrid>
      <w:tr w:rsidR="00574CB7" w:rsidTr="00474852">
        <w:tc>
          <w:tcPr>
            <w:tcW w:w="1382" w:type="dxa"/>
            <w:tcBorders>
              <w:top w:val="single" w:sz="4" w:space="0" w:color="auto"/>
              <w:bottom w:val="dashDotStroked" w:sz="24" w:space="0" w:color="auto"/>
            </w:tcBorders>
            <w:shd w:val="clear" w:color="auto" w:fill="D9D9D9" w:themeFill="background1" w:themeFillShade="D9"/>
          </w:tcPr>
          <w:p w:rsidR="00574CB7" w:rsidRPr="00474852" w:rsidRDefault="00574CB7" w:rsidP="00474852">
            <w:pPr>
              <w:jc w:val="center"/>
              <w:rPr>
                <w:sz w:val="24"/>
                <w:szCs w:val="24"/>
                <w:lang w:val="fr-SN"/>
              </w:rPr>
            </w:pPr>
            <w:r w:rsidRPr="00474852">
              <w:rPr>
                <w:sz w:val="24"/>
                <w:szCs w:val="24"/>
                <w:lang w:val="fr-SN"/>
              </w:rPr>
              <w:t>Année 2009</w:t>
            </w:r>
          </w:p>
        </w:tc>
        <w:tc>
          <w:tcPr>
            <w:tcW w:w="1382" w:type="dxa"/>
            <w:tcBorders>
              <w:top w:val="single" w:sz="4" w:space="0" w:color="auto"/>
              <w:bottom w:val="dashDotStroked" w:sz="24" w:space="0" w:color="auto"/>
            </w:tcBorders>
            <w:shd w:val="clear" w:color="auto" w:fill="D9D9D9" w:themeFill="background1" w:themeFillShade="D9"/>
          </w:tcPr>
          <w:p w:rsidR="00574CB7" w:rsidRPr="00474852" w:rsidRDefault="00574CB7" w:rsidP="00474852">
            <w:pPr>
              <w:jc w:val="center"/>
              <w:rPr>
                <w:sz w:val="24"/>
                <w:szCs w:val="24"/>
                <w:lang w:val="fr-SN"/>
              </w:rPr>
            </w:pPr>
            <w:r w:rsidRPr="00474852">
              <w:rPr>
                <w:sz w:val="24"/>
                <w:szCs w:val="24"/>
                <w:lang w:val="fr-SN"/>
              </w:rPr>
              <w:t>Nombre D’entreprise</w:t>
            </w:r>
          </w:p>
        </w:tc>
        <w:tc>
          <w:tcPr>
            <w:tcW w:w="1383" w:type="dxa"/>
            <w:tcBorders>
              <w:top w:val="single" w:sz="4" w:space="0" w:color="auto"/>
              <w:bottom w:val="dashDotStroked" w:sz="24" w:space="0" w:color="auto"/>
            </w:tcBorders>
            <w:shd w:val="clear" w:color="auto" w:fill="D9D9D9" w:themeFill="background1" w:themeFillShade="D9"/>
          </w:tcPr>
          <w:p w:rsidR="00574CB7" w:rsidRPr="00474852" w:rsidRDefault="00574CB7" w:rsidP="00474852">
            <w:pPr>
              <w:jc w:val="center"/>
              <w:rPr>
                <w:sz w:val="24"/>
                <w:szCs w:val="24"/>
                <w:lang w:val="fr-SN"/>
              </w:rPr>
            </w:pPr>
            <w:r w:rsidRPr="00474852">
              <w:rPr>
                <w:sz w:val="24"/>
                <w:szCs w:val="24"/>
                <w:lang w:val="fr-SN"/>
              </w:rPr>
              <w:t>Valeur Ajoutée</w:t>
            </w:r>
          </w:p>
        </w:tc>
        <w:tc>
          <w:tcPr>
            <w:tcW w:w="2766" w:type="dxa"/>
            <w:gridSpan w:val="2"/>
            <w:tcBorders>
              <w:top w:val="single" w:sz="4" w:space="0" w:color="auto"/>
              <w:bottom w:val="dashDotStroked" w:sz="24" w:space="0" w:color="auto"/>
            </w:tcBorders>
            <w:shd w:val="clear" w:color="auto" w:fill="D9D9D9" w:themeFill="background1" w:themeFillShade="D9"/>
          </w:tcPr>
          <w:p w:rsidR="00574CB7" w:rsidRPr="00474852" w:rsidRDefault="00574CB7" w:rsidP="00474852">
            <w:pPr>
              <w:jc w:val="center"/>
              <w:rPr>
                <w:sz w:val="24"/>
                <w:szCs w:val="24"/>
                <w:lang w:val="fr-SN"/>
              </w:rPr>
            </w:pPr>
            <w:r w:rsidRPr="00474852">
              <w:rPr>
                <w:sz w:val="24"/>
                <w:szCs w:val="24"/>
                <w:lang w:val="fr-SN"/>
              </w:rPr>
              <w:t>Chiffre d’affaire à L’import</w:t>
            </w:r>
          </w:p>
        </w:tc>
        <w:tc>
          <w:tcPr>
            <w:tcW w:w="1383" w:type="dxa"/>
            <w:vMerge w:val="restart"/>
            <w:textDirection w:val="tbRl"/>
          </w:tcPr>
          <w:p w:rsidR="00574CB7" w:rsidRPr="00474852" w:rsidRDefault="00574CB7" w:rsidP="00474852">
            <w:pPr>
              <w:ind w:left="113" w:right="113"/>
              <w:jc w:val="center"/>
              <w:rPr>
                <w:rFonts w:ascii="Algerian" w:hAnsi="Algerian"/>
                <w:sz w:val="72"/>
                <w:szCs w:val="72"/>
                <w:lang w:val="fr-SN"/>
              </w:rPr>
            </w:pPr>
            <w:r w:rsidRPr="00474852">
              <w:rPr>
                <w:rFonts w:ascii="Algerian" w:hAnsi="Algerian"/>
                <w:sz w:val="72"/>
                <w:szCs w:val="72"/>
                <w:lang w:val="fr-SN"/>
              </w:rPr>
              <w:t>IAA</w:t>
            </w:r>
          </w:p>
        </w:tc>
      </w:tr>
      <w:tr w:rsidR="00574CB7" w:rsidTr="00474852">
        <w:trPr>
          <w:trHeight w:val="576"/>
        </w:trPr>
        <w:tc>
          <w:tcPr>
            <w:tcW w:w="1382" w:type="dxa"/>
            <w:tcBorders>
              <w:top w:val="dashDotStroked" w:sz="24" w:space="0" w:color="auto"/>
            </w:tcBorders>
          </w:tcPr>
          <w:p w:rsidR="00574CB7" w:rsidRDefault="00574CB7" w:rsidP="00C1454D">
            <w:pPr>
              <w:rPr>
                <w:lang w:val="fr-SN"/>
              </w:rPr>
            </w:pPr>
            <w:r>
              <w:rPr>
                <w:lang w:val="fr-SN"/>
              </w:rPr>
              <w:t>IAA</w:t>
            </w:r>
          </w:p>
        </w:tc>
        <w:tc>
          <w:tcPr>
            <w:tcW w:w="1382" w:type="dxa"/>
            <w:tcBorders>
              <w:top w:val="dashDotStroked" w:sz="24" w:space="0" w:color="auto"/>
            </w:tcBorders>
          </w:tcPr>
          <w:p w:rsidR="00574CB7" w:rsidRDefault="00574CB7" w:rsidP="00474852">
            <w:pPr>
              <w:jc w:val="center"/>
              <w:rPr>
                <w:lang w:val="fr-SN"/>
              </w:rPr>
            </w:pPr>
            <w:r>
              <w:rPr>
                <w:lang w:val="fr-SN"/>
              </w:rPr>
              <w:t>419</w:t>
            </w:r>
          </w:p>
        </w:tc>
        <w:tc>
          <w:tcPr>
            <w:tcW w:w="1383" w:type="dxa"/>
            <w:tcBorders>
              <w:top w:val="dashDotStroked" w:sz="24" w:space="0" w:color="auto"/>
            </w:tcBorders>
          </w:tcPr>
          <w:p w:rsidR="00574CB7" w:rsidRDefault="00574CB7" w:rsidP="00474852">
            <w:pPr>
              <w:jc w:val="center"/>
              <w:rPr>
                <w:lang w:val="fr-SN"/>
              </w:rPr>
            </w:pPr>
            <w:r>
              <w:rPr>
                <w:lang w:val="fr-SN"/>
              </w:rPr>
              <w:t>106802</w:t>
            </w:r>
          </w:p>
        </w:tc>
        <w:tc>
          <w:tcPr>
            <w:tcW w:w="1383" w:type="dxa"/>
            <w:tcBorders>
              <w:top w:val="dashDotStroked" w:sz="24" w:space="0" w:color="auto"/>
            </w:tcBorders>
          </w:tcPr>
          <w:p w:rsidR="00574CB7" w:rsidRDefault="00574CB7" w:rsidP="00474852">
            <w:pPr>
              <w:jc w:val="center"/>
              <w:rPr>
                <w:lang w:val="fr-SN"/>
              </w:rPr>
            </w:pPr>
            <w:r>
              <w:rPr>
                <w:lang w:val="fr-SN"/>
              </w:rPr>
              <w:t>809008</w:t>
            </w:r>
          </w:p>
        </w:tc>
        <w:tc>
          <w:tcPr>
            <w:tcW w:w="1383" w:type="dxa"/>
            <w:tcBorders>
              <w:top w:val="dashDotStroked" w:sz="24" w:space="0" w:color="auto"/>
            </w:tcBorders>
          </w:tcPr>
          <w:p w:rsidR="00574CB7" w:rsidRDefault="00574CB7" w:rsidP="00474852">
            <w:pPr>
              <w:jc w:val="center"/>
              <w:rPr>
                <w:lang w:val="fr-SN"/>
              </w:rPr>
            </w:pPr>
            <w:r>
              <w:rPr>
                <w:lang w:val="fr-SN"/>
              </w:rPr>
              <w:t>78972</w:t>
            </w:r>
          </w:p>
        </w:tc>
        <w:tc>
          <w:tcPr>
            <w:tcW w:w="1383" w:type="dxa"/>
            <w:vMerge/>
          </w:tcPr>
          <w:p w:rsidR="00574CB7" w:rsidRDefault="00574CB7" w:rsidP="00C1454D">
            <w:pPr>
              <w:rPr>
                <w:lang w:val="fr-SN"/>
              </w:rPr>
            </w:pPr>
          </w:p>
        </w:tc>
      </w:tr>
      <w:tr w:rsidR="00574CB7" w:rsidTr="0036539E">
        <w:tc>
          <w:tcPr>
            <w:tcW w:w="1382" w:type="dxa"/>
          </w:tcPr>
          <w:p w:rsidR="00574CB7" w:rsidRDefault="00574CB7" w:rsidP="00C1454D">
            <w:pPr>
              <w:rPr>
                <w:lang w:val="fr-SN"/>
              </w:rPr>
            </w:pPr>
            <w:r>
              <w:rPr>
                <w:lang w:val="fr-SN"/>
              </w:rPr>
              <w:t>Total Industrie</w:t>
            </w:r>
          </w:p>
        </w:tc>
        <w:tc>
          <w:tcPr>
            <w:tcW w:w="1382" w:type="dxa"/>
          </w:tcPr>
          <w:p w:rsidR="00574CB7" w:rsidRDefault="00574CB7" w:rsidP="00474852">
            <w:pPr>
              <w:jc w:val="center"/>
              <w:rPr>
                <w:lang w:val="fr-SN"/>
              </w:rPr>
            </w:pPr>
            <w:r>
              <w:rPr>
                <w:lang w:val="fr-SN"/>
              </w:rPr>
              <w:t>882</w:t>
            </w:r>
          </w:p>
        </w:tc>
        <w:tc>
          <w:tcPr>
            <w:tcW w:w="1383" w:type="dxa"/>
          </w:tcPr>
          <w:p w:rsidR="00574CB7" w:rsidRDefault="00574CB7" w:rsidP="00474852">
            <w:pPr>
              <w:jc w:val="center"/>
              <w:rPr>
                <w:lang w:val="fr-SN"/>
              </w:rPr>
            </w:pPr>
            <w:r>
              <w:rPr>
                <w:lang w:val="fr-SN"/>
              </w:rPr>
              <w:t>356095</w:t>
            </w:r>
          </w:p>
        </w:tc>
        <w:tc>
          <w:tcPr>
            <w:tcW w:w="1383" w:type="dxa"/>
          </w:tcPr>
          <w:p w:rsidR="00574CB7" w:rsidRDefault="00574CB7" w:rsidP="00474852">
            <w:pPr>
              <w:jc w:val="center"/>
              <w:rPr>
                <w:lang w:val="fr-SN"/>
              </w:rPr>
            </w:pPr>
            <w:r>
              <w:rPr>
                <w:lang w:val="fr-SN"/>
              </w:rPr>
              <w:t>2183705</w:t>
            </w:r>
          </w:p>
        </w:tc>
        <w:tc>
          <w:tcPr>
            <w:tcW w:w="1383" w:type="dxa"/>
          </w:tcPr>
          <w:p w:rsidR="00574CB7" w:rsidRDefault="00574CB7" w:rsidP="00474852">
            <w:pPr>
              <w:jc w:val="center"/>
              <w:rPr>
                <w:lang w:val="fr-SN"/>
              </w:rPr>
            </w:pPr>
            <w:r>
              <w:rPr>
                <w:lang w:val="fr-SN"/>
              </w:rPr>
              <w:t>112957</w:t>
            </w:r>
          </w:p>
        </w:tc>
        <w:tc>
          <w:tcPr>
            <w:tcW w:w="1383" w:type="dxa"/>
            <w:vMerge/>
          </w:tcPr>
          <w:p w:rsidR="00574CB7" w:rsidRDefault="00574CB7" w:rsidP="00C1454D">
            <w:pPr>
              <w:rPr>
                <w:lang w:val="fr-SN"/>
              </w:rPr>
            </w:pPr>
          </w:p>
        </w:tc>
      </w:tr>
      <w:tr w:rsidR="00574CB7" w:rsidTr="00474852">
        <w:trPr>
          <w:trHeight w:val="609"/>
        </w:trPr>
        <w:tc>
          <w:tcPr>
            <w:tcW w:w="1382" w:type="dxa"/>
          </w:tcPr>
          <w:p w:rsidR="00574CB7" w:rsidRDefault="00574CB7" w:rsidP="00C1454D">
            <w:pPr>
              <w:rPr>
                <w:lang w:val="fr-SN"/>
              </w:rPr>
            </w:pPr>
            <w:bookmarkStart w:id="0" w:name="_GoBack"/>
            <w:bookmarkEnd w:id="0"/>
            <w:r>
              <w:rPr>
                <w:lang w:val="fr-SN"/>
              </w:rPr>
              <w:t>Proportion</w:t>
            </w:r>
          </w:p>
        </w:tc>
        <w:tc>
          <w:tcPr>
            <w:tcW w:w="1382" w:type="dxa"/>
          </w:tcPr>
          <w:p w:rsidR="00574CB7" w:rsidRDefault="00574CB7" w:rsidP="00474852">
            <w:pPr>
              <w:jc w:val="center"/>
              <w:rPr>
                <w:lang w:val="fr-SN"/>
              </w:rPr>
            </w:pPr>
            <w:r>
              <w:rPr>
                <w:lang w:val="fr-SN"/>
              </w:rPr>
              <w:t>47,5%</w:t>
            </w:r>
          </w:p>
        </w:tc>
        <w:tc>
          <w:tcPr>
            <w:tcW w:w="1383" w:type="dxa"/>
          </w:tcPr>
          <w:p w:rsidR="00574CB7" w:rsidRDefault="00574CB7" w:rsidP="00474852">
            <w:pPr>
              <w:jc w:val="center"/>
              <w:rPr>
                <w:lang w:val="fr-SN"/>
              </w:rPr>
            </w:pPr>
            <w:r>
              <w:rPr>
                <w:lang w:val="fr-SN"/>
              </w:rPr>
              <w:t>38,3%</w:t>
            </w:r>
          </w:p>
        </w:tc>
        <w:tc>
          <w:tcPr>
            <w:tcW w:w="1383" w:type="dxa"/>
          </w:tcPr>
          <w:p w:rsidR="00574CB7" w:rsidRDefault="00574CB7" w:rsidP="00474852">
            <w:pPr>
              <w:jc w:val="center"/>
              <w:rPr>
                <w:lang w:val="fr-SN"/>
              </w:rPr>
            </w:pPr>
            <w:r>
              <w:rPr>
                <w:lang w:val="fr-SN"/>
              </w:rPr>
              <w:t>37%</w:t>
            </w:r>
          </w:p>
        </w:tc>
        <w:tc>
          <w:tcPr>
            <w:tcW w:w="1383" w:type="dxa"/>
          </w:tcPr>
          <w:p w:rsidR="00574CB7" w:rsidRDefault="00574CB7" w:rsidP="00474852">
            <w:pPr>
              <w:jc w:val="center"/>
              <w:rPr>
                <w:lang w:val="fr-SN"/>
              </w:rPr>
            </w:pPr>
            <w:r>
              <w:rPr>
                <w:lang w:val="fr-SN"/>
              </w:rPr>
              <w:t>70%</w:t>
            </w:r>
          </w:p>
        </w:tc>
        <w:tc>
          <w:tcPr>
            <w:tcW w:w="1383" w:type="dxa"/>
            <w:vMerge/>
          </w:tcPr>
          <w:p w:rsidR="00574CB7" w:rsidRDefault="00574CB7" w:rsidP="00C1454D">
            <w:pPr>
              <w:rPr>
                <w:lang w:val="fr-SN"/>
              </w:rPr>
            </w:pPr>
          </w:p>
        </w:tc>
      </w:tr>
    </w:tbl>
    <w:p w:rsidR="00474852" w:rsidRDefault="00474852" w:rsidP="00C1454D">
      <w:pPr>
        <w:rPr>
          <w:lang w:val="fr-SN"/>
        </w:rPr>
      </w:pPr>
    </w:p>
    <w:p w:rsidR="00C1454D" w:rsidRDefault="00574CB7" w:rsidP="00C1454D">
      <w:pPr>
        <w:rPr>
          <w:lang w:val="fr-SN"/>
        </w:rPr>
      </w:pPr>
      <w:r>
        <w:rPr>
          <w:lang w:val="fr-SN"/>
        </w:rPr>
        <w:t>Nom :……………………………. Prénoms…………………………..Numéros……………………………Adresse</w:t>
      </w:r>
    </w:p>
    <w:p w:rsidR="00574CB7" w:rsidRDefault="00574CB7" w:rsidP="00C1454D">
      <w:pPr>
        <w:rPr>
          <w:lang w:val="fr-SN"/>
        </w:rPr>
      </w:pPr>
      <w:r>
        <w:rPr>
          <w:lang w:val="fr-SN"/>
        </w:rPr>
        <w:t>DIOP………………………………Daouda……………………………77 2856589………………………..Mbour</w:t>
      </w:r>
    </w:p>
    <w:p w:rsidR="00574CB7" w:rsidRDefault="00574CB7" w:rsidP="00C1454D">
      <w:pPr>
        <w:rPr>
          <w:lang w:val="fr-SN"/>
        </w:rPr>
      </w:pPr>
      <w:r>
        <w:rPr>
          <w:lang w:val="fr-SN"/>
        </w:rPr>
        <w:lastRenderedPageBreak/>
        <w:t>DIATTA…………………………Théodore…………………………..779581032………………………….HLM</w:t>
      </w:r>
    </w:p>
    <w:p w:rsidR="00574CB7" w:rsidRPr="00C1454D" w:rsidRDefault="00574CB7" w:rsidP="00C1454D">
      <w:pPr>
        <w:rPr>
          <w:lang w:val="fr-SN"/>
        </w:rPr>
      </w:pPr>
      <w:r>
        <w:rPr>
          <w:lang w:val="fr-SN"/>
        </w:rPr>
        <w:t>DIALLO…………………………Amadou……………………………..772542321…………………………Kaolack</w:t>
      </w:r>
    </w:p>
    <w:sectPr w:rsidR="00574CB7" w:rsidRPr="00C1454D" w:rsidSect="00C1454D">
      <w:type w:val="continuous"/>
      <w:pgSz w:w="11906" w:h="16838"/>
      <w:pgMar w:top="1440" w:right="1800" w:bottom="1440" w:left="1800" w:header="708" w:footer="708" w:gutter="0"/>
      <w:cols w:sep="1"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126" w:rsidRDefault="00B97126" w:rsidP="00474852">
      <w:pPr>
        <w:spacing w:after="0" w:line="240" w:lineRule="auto"/>
      </w:pPr>
      <w:r>
        <w:separator/>
      </w:r>
    </w:p>
  </w:endnote>
  <w:endnote w:type="continuationSeparator" w:id="0">
    <w:p w:rsidR="00B97126" w:rsidRDefault="00B97126" w:rsidP="00474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852" w:rsidRDefault="00474852">
    <w:pPr>
      <w:pStyle w:val="Pieddepage"/>
      <w:rPr>
        <w:sz w:val="28"/>
        <w:vertAlign w:val="superscript"/>
        <w:lang w:val="fr-SN"/>
      </w:rPr>
    </w:pPr>
  </w:p>
  <w:p w:rsidR="00474852" w:rsidRDefault="00474852">
    <w:pPr>
      <w:pStyle w:val="Pieddepage"/>
      <w:rPr>
        <w:sz w:val="28"/>
        <w:vertAlign w:val="superscript"/>
        <w:lang w:val="fr-SN"/>
      </w:rPr>
    </w:pPr>
  </w:p>
  <w:p w:rsidR="00474852" w:rsidRDefault="00474852">
    <w:pPr>
      <w:pStyle w:val="Pieddepage"/>
      <w:rPr>
        <w:sz w:val="28"/>
        <w:vertAlign w:val="superscript"/>
        <w:lang w:val="fr-SN"/>
      </w:rPr>
    </w:pPr>
    <w:r>
      <w:rPr>
        <w:sz w:val="28"/>
        <w:vertAlign w:val="superscript"/>
        <w:lang w:val="fr-SN"/>
      </w:rPr>
      <w:t>_____________________________</w:t>
    </w:r>
  </w:p>
  <w:p w:rsidR="00474852" w:rsidRPr="00474852" w:rsidRDefault="00474852">
    <w:pPr>
      <w:pStyle w:val="Pieddepage"/>
      <w:rPr>
        <w:sz w:val="28"/>
        <w:lang w:val="fr-SN"/>
      </w:rPr>
    </w:pPr>
    <w:r w:rsidRPr="00474852">
      <w:rPr>
        <w:sz w:val="28"/>
        <w:vertAlign w:val="superscript"/>
        <w:lang w:val="fr-SN"/>
      </w:rPr>
      <w:t xml:space="preserve">IAA </w:t>
    </w:r>
    <w:r>
      <w:rPr>
        <w:sz w:val="28"/>
        <w:vertAlign w:val="superscript"/>
        <w:lang w:val="fr-SN"/>
      </w:rPr>
      <w:t xml:space="preserve"> </w:t>
    </w:r>
    <w:r w:rsidRPr="00474852">
      <w:rPr>
        <w:rFonts w:ascii="Monotype Corsiva" w:hAnsi="Monotype Corsiva"/>
        <w:sz w:val="32"/>
        <w:szCs w:val="32"/>
        <w:lang w:val="fr-SN"/>
      </w:rPr>
      <w:t>L’industrie agroalimentaire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126" w:rsidRDefault="00B97126" w:rsidP="00474852">
      <w:pPr>
        <w:spacing w:after="0" w:line="240" w:lineRule="auto"/>
      </w:pPr>
      <w:r>
        <w:separator/>
      </w:r>
    </w:p>
  </w:footnote>
  <w:footnote w:type="continuationSeparator" w:id="0">
    <w:p w:rsidR="00B97126" w:rsidRDefault="00B97126" w:rsidP="004748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2C04E1"/>
    <w:multiLevelType w:val="hybridMultilevel"/>
    <w:tmpl w:val="E5768A98"/>
    <w:lvl w:ilvl="0" w:tplc="D298884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3E8"/>
    <w:rsid w:val="000573E8"/>
    <w:rsid w:val="0036539E"/>
    <w:rsid w:val="00474852"/>
    <w:rsid w:val="00574CB7"/>
    <w:rsid w:val="006356C3"/>
    <w:rsid w:val="0082627B"/>
    <w:rsid w:val="008F7637"/>
    <w:rsid w:val="00923841"/>
    <w:rsid w:val="00927C08"/>
    <w:rsid w:val="009873F9"/>
    <w:rsid w:val="00B97126"/>
    <w:rsid w:val="00C145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329339-A83E-4172-BA3F-900F1DA09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1454D"/>
    <w:pPr>
      <w:ind w:left="720"/>
      <w:contextualSpacing/>
    </w:pPr>
  </w:style>
  <w:style w:type="table" w:styleId="Grilledutableau">
    <w:name w:val="Table Grid"/>
    <w:basedOn w:val="TableauNormal"/>
    <w:uiPriority w:val="39"/>
    <w:rsid w:val="00C145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474852"/>
    <w:pPr>
      <w:tabs>
        <w:tab w:val="center" w:pos="4153"/>
        <w:tab w:val="right" w:pos="8306"/>
      </w:tabs>
      <w:spacing w:after="0" w:line="240" w:lineRule="auto"/>
    </w:pPr>
  </w:style>
  <w:style w:type="character" w:customStyle="1" w:styleId="En-tteCar">
    <w:name w:val="En-tête Car"/>
    <w:basedOn w:val="Policepardfaut"/>
    <w:link w:val="En-tte"/>
    <w:uiPriority w:val="99"/>
    <w:rsid w:val="00474852"/>
  </w:style>
  <w:style w:type="paragraph" w:styleId="Pieddepage">
    <w:name w:val="footer"/>
    <w:basedOn w:val="Normal"/>
    <w:link w:val="PieddepageCar"/>
    <w:uiPriority w:val="99"/>
    <w:unhideWhenUsed/>
    <w:rsid w:val="00474852"/>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474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288</Words>
  <Characters>1590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3</cp:revision>
  <dcterms:created xsi:type="dcterms:W3CDTF">2023-02-24T09:47:00Z</dcterms:created>
  <dcterms:modified xsi:type="dcterms:W3CDTF">2023-02-24T11:48:00Z</dcterms:modified>
</cp:coreProperties>
</file>