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МИНИСТАРСТВО УНУТРАШЊИХ ПОСЛОВА</w:t>
      </w:r>
    </w:p>
    <w:p>
      <w:pPr>
        <w:jc w:val="both"/>
      </w:pPr>
      <w:r/>
      <w:r>
        <w:rPr>
          <w:b/>
        </w:rPr>
        <w:t>ПУ ЗРЕЊАНИН</w:t>
      </w:r>
      <w:r/>
    </w:p>
    <w:p>
      <w:pPr>
        <w:jc w:val="both"/>
      </w:pPr>
      <w:r>
        <w:t>Др Зорана Каменковића бр. 10, 23000 Зрењанин</w:t>
      </w:r>
    </w:p>
    <w:p>
      <w:pPr>
        <w:jc w:val="both"/>
      </w:pPr>
      <w:r/>
      <w:r>
        <w:rPr>
          <w:b/>
        </w:rPr>
        <w:t>ВЕЗА:</w:t>
      </w:r>
      <w:r>
        <w:t xml:space="preserve"> крађа на броду Бечеј 1, пријављена дана 11.09.2025. године; Допис пуномоћника оштећеног са одштетним захтевом од 24.09.2025. године</w:t>
      </w:r>
    </w:p>
    <w:p>
      <w:pPr>
        <w:jc w:val="both"/>
      </w:pPr>
      <w:r/>
      <w:r>
        <w:rPr>
          <w:b/>
        </w:rPr>
        <w:t>ОШТЕЋЕНИ:</w:t>
      </w:r>
      <w:r>
        <w:t xml:space="preserve"> VUKOVIĆ COMMERCE 2015 DOO VETERNIK из Ветерника, ул. Новосадски пут бр. 106, МБ: 21085251, ПИБ: 108875815, а којег оштећеног по приложеној пуномоћи заступа адв. Милан Мишић из Новог Сада, ул. Максима Горког бр. 6</w:t>
      </w:r>
    </w:p>
    <w:p>
      <w:pPr>
        <w:jc w:val="both"/>
      </w:pPr>
      <w:r/>
      <w:r>
        <w:rPr>
          <w:b/>
        </w:rPr>
        <w:t>ШТЕТНИК:</w:t>
      </w:r>
      <w:r/>
    </w:p>
    <w:p>
      <w:pPr>
        <w:ind w:left="425"/>
      </w:pPr>
      <w:r>
        <w:t>1. BEGEJ SHIPYARDS GROUP DOO ZRENJANIN из Зрењанина, ул. Темишварски друм ББ, МБ: 21541575, ПИБ: 111793711</w:t>
      </w:r>
    </w:p>
    <w:p>
      <w:pPr>
        <w:ind w:left="425"/>
      </w:pPr>
      <w:r>
        <w:t>2. Душко Топаловић, ЈМБГ: 2310981710203, као директор прив. друштва BEGEJ SHIPYARDS GROUP DOO ZRENJANIN из Зрењанина, ул. Темишварски друм ББ, МБ: 21541575, ПИБ: 111793711</w:t>
      </w:r>
    </w:p>
    <w:p>
      <w:pPr>
        <w:pStyle w:val="Heading1"/>
        <w:jc w:val="center"/>
      </w:pPr>
      <w:r>
        <w:t>ИЗЈАШЊЕЊЕ ПУНОМОЋНИКА ОШТЕЋЕНОГ НА ОКОЛНОСТИ ВРЕДНОСТИ ОТУЂЕНИХ СТВАРИ — ТАКСАТИВНИ ПОПИС ОТУЂЕНИХ И ОШТЕЋЕНИХ СТВАРИ — СА ОДШТЕТНИМ ЗАХТЕВОМ</w:t>
      </w:r>
    </w:p>
    <w:p>
      <w:pPr>
        <w:jc w:val="both"/>
      </w:pPr>
      <w:r>
        <w:t>2 примерка</w:t>
      </w:r>
    </w:p>
    <w:p>
      <w:pPr>
        <w:jc w:val="both"/>
      </w:pPr>
      <w:r>
        <w:t>Поштовани,</w:t>
      </w:r>
    </w:p>
    <w:p>
      <w:pPr>
        <w:jc w:val="both"/>
      </w:pPr>
      <w:r>
        <w:t>поступајући по захтеву тог органа да се оштећени изјасни на околности вредности отуђених ствари, и то таксативно у одштетном захтеву, као и на околности колико је година брод стар као и отуђени делови, коме је брод остављен на ремонт и ко је требало да изврши примопредају брода по завршеним радовима, дајемо следеће изјашњење:</w:t>
      </w:r>
    </w:p>
    <w:p>
      <w:pPr>
        <w:pStyle w:val="Heading2"/>
      </w:pPr>
      <w:r>
        <w:t>I — ЧИЊЕНИЧНИ ОСНОВ</w:t>
      </w:r>
    </w:p>
    <w:p>
      <w:pPr>
        <w:ind w:left="425"/>
      </w:pPr>
      <w:r>
        <w:t xml:space="preserve">1. Оштећено прив. друштво VUKOVIĆ COMMERCE 2015 DOO VETERNIK искључиви је власник самоходне барже (моторног теретњака) </w:t>
      </w:r>
      <w:r>
        <w:rPr>
          <w:b/>
        </w:rPr>
        <w:t>„Бечеј I", ENI број 36000187</w:t>
      </w:r>
      <w:r>
        <w:t>, уписане у уложак бр. 2, на страни 9, свеске бр. I Главне књиге уписника бродова унутрашње пловидбе Лучке капетаније Нови Сад. Право својине оштећеног укњижено је Решењем ЛК Нови Сад број 342-2/15 УБУП I од 03.09.2015. године, што се доказује Изводом Лучке капетаније Нови Сад број 342-1561/24-II од 09.09.2024. године (достављен уз допис од 24.09.2025. године).</w:t>
      </w:r>
    </w:p>
    <w:p>
      <w:pPr>
        <w:ind w:left="425"/>
      </w:pPr>
      <w:r>
        <w:t>2. Предметни брод предат је на ремонт штетнику 1. реда — бродоградилишту BEGEJ SHIPYARDS GROUP DOO ZRENJANIN, чија је претежна регистрована делатност поправка и одржавање бродова и чамаца (шифра делатности 3315), [</w:t>
      </w:r>
      <w:r>
        <w:rPr>
          <w:i/>
        </w:rPr>
        <w:t>уписати: број и датум уговора о ремонту / радног налога, односно основ предаје</w:t>
      </w:r>
      <w:r>
        <w:t>], дана [____________] године. Брод се налазио на локалитету Перлез, код преводнице Перлез.</w:t>
      </w:r>
    </w:p>
    <w:p>
      <w:pPr>
        <w:ind w:left="425"/>
      </w:pPr>
      <w:r>
        <w:t xml:space="preserve">3. За дан </w:t>
      </w:r>
      <w:r>
        <w:rPr>
          <w:b/>
        </w:rPr>
        <w:t>11.09.2025. године</w:t>
      </w:r>
      <w:r>
        <w:t xml:space="preserve"> била је уговорена примопредаја брода по завршеним радовима, на основу Понуде за Записник о преузимању брода, понуђене од стране штетника 1. и 2. реда (достављена уз допис од 24.09.2025. године). Примопредаји су приступили: адв. Милан Мишић (пуномоћник оштећеног), Дејан Димитријевић, запослени штетника 1. реда и др Милан Радошевић, судски вештак машинске струке (по Решењу Министарства правде РС бр. 740-05-02215/2014-22 од 08.12.2014. године).</w:t>
      </w:r>
    </w:p>
    <w:p>
      <w:pPr>
        <w:ind w:left="425"/>
      </w:pPr>
      <w:r>
        <w:t xml:space="preserve">4. Прегледом брода на дан примопредаје утврђено је да је брод у неисправном и нефункционалном стању — да су са брода отуђени витални делови и опрема и да је брод вандализован, о чему је судски вештак сачинио </w:t>
      </w:r>
      <w:r>
        <w:rPr>
          <w:b/>
        </w:rPr>
        <w:t>Извештај о затеченом стању од 24.09.2025. године</w:t>
      </w:r>
      <w:r>
        <w:t xml:space="preserve"> са фотодокументацијом (достављен уз допис од 24.09.2025. године). Догађај је истог дана пријављен том органу, чији су службеници изашли на лице места и извршили увиђај. Запослени штетника 1. реда напустили су место уговорене примопредаје одмах по позивању полиције, а пре доласка полицијских службеника.</w:t>
      </w:r>
    </w:p>
    <w:p>
      <w:pPr>
        <w:pStyle w:val="Heading2"/>
      </w:pPr>
      <w:r>
        <w:t>II — ИЗЈАШЊЕЊЕ НА ПОСТАВЉЕНА ПИТАЊА</w:t>
      </w:r>
    </w:p>
    <w:p>
      <w:pPr>
        <w:pStyle w:val="Heading3"/>
      </w:pPr>
      <w:r>
        <w:t>1. Колико је брод стар</w:t>
      </w:r>
    </w:p>
    <w:p>
      <w:pPr>
        <w:jc w:val="both"/>
      </w:pPr>
      <w:r>
        <w:t xml:space="preserve">Брод „Бечеј I" изграђен је </w:t>
      </w:r>
      <w:r>
        <w:rPr>
          <w:b/>
        </w:rPr>
        <w:t>1978. године</w:t>
      </w:r>
      <w:r>
        <w:t xml:space="preserve"> у бродоградилишту Balatonfüred, Мађарска (лист А уписника бродова). На дан уговорене примопредаје (11.09.2025. године) брод је био стар </w:t>
      </w:r>
      <w:r>
        <w:rPr>
          <w:b/>
        </w:rPr>
        <w:t>47 година</w:t>
      </w:r>
      <w:r>
        <w:t>.</w:t>
      </w:r>
    </w:p>
    <w:p>
      <w:pPr>
        <w:jc w:val="both"/>
      </w:pPr>
      <w:r>
        <w:t>Основне карактеристике брода према уписнику: моторни теретњак са сопственим погоном; највећа носивост 886,00 т; два дизел мотора укупне снаге 212,20 kW; два (2) Z погона; труп од челика; највећа дужина 69,71 м; највећа ширина 8,62 м.</w:t>
      </w:r>
    </w:p>
    <w:p>
      <w:pPr>
        <w:pStyle w:val="Heading3"/>
      </w:pPr>
      <w:r>
        <w:t>2. Колико су стари отуђени делови</w:t>
      </w:r>
    </w:p>
    <w:p>
      <w:pPr>
        <w:jc w:val="both"/>
      </w:pPr>
      <w:r>
        <w:t>Отуђени делови и опрема били су уграђени и у функцији у тренутку предаје брода на ремонт. Старост појединих делова одговара години градње брода (1978), док су поједини делови и опрема накнадно уграђени, и то: [</w:t>
      </w:r>
      <w:r>
        <w:rPr>
          <w:i/>
        </w:rPr>
        <w:t>уписати — нпр. радар, радио станица, агрегат: година набавке/уградње, рачуни/документација уколико постоје</w:t>
      </w:r>
      <w:r>
        <w:t>]. Тачна старост и стање сваког појединачног дела биће утврђени вештачењем, односно целокупном дефектажом брода од стране сервисера машинске и електро струке, како је констатовано у извештају судског вештака.</w:t>
      </w:r>
    </w:p>
    <w:p>
      <w:pPr>
        <w:pStyle w:val="Heading3"/>
      </w:pPr>
      <w:r>
        <w:t>3. Коме је брод остављен на ремонт</w:t>
      </w:r>
    </w:p>
    <w:p>
      <w:pPr>
        <w:jc w:val="both"/>
      </w:pPr>
      <w:r>
        <w:t xml:space="preserve">Брод је остављен на ремонт штетнику 1. реда — бродоградилишту </w:t>
      </w:r>
      <w:r>
        <w:rPr>
          <w:b/>
        </w:rPr>
        <w:t>BEGEJ SHIPYARDS GROUP DOO ZRENJANIN</w:t>
      </w:r>
      <w:r>
        <w:t>, ул. Темишварски друм ББ, Зрењанин, МБ: 21541575, ПИБ: 111793711. Брод је од предаје до дана уговорене примопредаје био у државини и под надзором штетника 1. реда, који као професионално бродоградилиште одговара за поверену ствар по повишеном стандарду пажње доброг стручњака (чл. 18. ст. 2. ЗОО).</w:t>
      </w:r>
    </w:p>
    <w:p>
      <w:pPr>
        <w:pStyle w:val="Heading3"/>
      </w:pPr>
      <w:r>
        <w:t>4. Ко је требало да изврши примопредају брода по завршеним радовима</w:t>
      </w:r>
    </w:p>
    <w:p>
      <w:pPr>
        <w:jc w:val="both"/>
      </w:pPr>
      <w:r>
        <w:t xml:space="preserve">Примопредају брода по завршеним радовима требало је да изврше </w:t>
      </w:r>
      <w:r>
        <w:rPr>
          <w:b/>
        </w:rPr>
        <w:t>штетници 1. и 2. реда</w:t>
      </w:r>
      <w:r>
        <w:t xml:space="preserve"> — BEGEJ SHIPYARDS GROUP DOO ZRENJANIN, преко директора Душка Топаловића, који су оштећеном и понудили Записник о преузимању брода, са примопредајом заказаном за дан 11.09.2025. године.</w:t>
      </w:r>
    </w:p>
    <w:p>
      <w:pPr>
        <w:jc w:val="both"/>
      </w:pPr>
      <w:r>
        <w:t xml:space="preserve">Лице које обавља посао (извођач радова — посленик) дужно је да по завршеном послу обавести налогодавца (наручиоца) и да му преда ствар у посед ради провере да ли је посао обављен према договореном. Сходно томе, штетник 1. реда је био дужан да брод </w:t>
      </w:r>
      <w:r>
        <w:rPr>
          <w:b/>
        </w:rPr>
        <w:t>преда у посед оштећеном</w:t>
      </w:r>
      <w:r>
        <w:t xml:space="preserve"> (чл. 613. Закона о облигационим односима), а све </w:t>
      </w:r>
      <w:r>
        <w:rPr>
          <w:b/>
        </w:rPr>
        <w:t>док се брод налазио у поседу штетника, до уредне примопредаје, на штетнику је била одговорност за све што се са бродом догоди</w:t>
      </w:r>
      <w:r>
        <w:t>. Управо је штетник, заказивањем Записника о преузимању за 11.09.2025. године, и сам признао да сматра да је посао завршен и брод спреман за предају. Примопредаја, међутим, није извршена из разлога наведених у тачки I.4. овог изјашњења, а пре ње је утврђено да су витални делови брода отуђени, односно да је брод оштећен — док је био искључиво у поседу и под надзором штетника.</w:t>
      </w:r>
    </w:p>
    <w:p>
      <w:pPr>
        <w:jc w:val="both"/>
      </w:pPr>
      <w:r>
        <w:t>Детаљна правна анализа одговорности штетника, са одредбама прописа и судском праксом, дата је у тачки IV-А овог изјашњења и у прилозима (Правна анализа и издвојене одлуке судске праксе).</w:t>
      </w:r>
    </w:p>
    <w:p>
      <w:pPr>
        <w:pStyle w:val="Heading2"/>
      </w:pPr>
      <w:r>
        <w:t>III — ТАКСАТИВНИ ПОПИС ОТУЂЕНИХ И ОШТЕЋЕНИХ СТВАРИ</w:t>
      </w:r>
    </w:p>
    <w:p>
      <w:pPr>
        <w:jc w:val="both"/>
      </w:pPr>
      <w:r>
        <w:t>На основу Извештаја о затеченом стању судског вештака др Милана Радошевића од 24.09.2025. године са фотодокументацијом, таксативно се пописују:</w:t>
      </w:r>
    </w:p>
    <w:p>
      <w:pPr>
        <w:pStyle w:val="Heading3"/>
      </w:pPr>
      <w:r>
        <w:t>А) Отуђене ствари (недостају, односно покрадене су са брода)</w:t>
      </w:r>
    </w:p>
    <w:p>
      <w:pPr>
        <w:ind w:left="425"/>
      </w:pPr>
      <w:r>
        <w:t>1. бродски агрегат;</w:t>
      </w:r>
    </w:p>
    <w:p>
      <w:pPr>
        <w:ind w:left="425"/>
      </w:pPr>
      <w:r>
        <w:t>2. радар;</w:t>
      </w:r>
    </w:p>
    <w:p>
      <w:pPr>
        <w:ind w:left="425"/>
      </w:pPr>
      <w:r>
        <w:t>3. радио станица;</w:t>
      </w:r>
    </w:p>
    <w:p>
      <w:pPr>
        <w:ind w:left="425"/>
      </w:pPr>
      <w:r>
        <w:t>4. два (2) бродска пропулзера марке „Schottel" са целокупним припадајућим системом — два Z погона (средство порива/погона брода);</w:t>
      </w:r>
    </w:p>
    <w:p>
      <w:pPr>
        <w:ind w:left="425"/>
      </w:pPr>
      <w:r>
        <w:t>5. разводни ормани (покрадени, са исеченом електричном инсталацијом);</w:t>
      </w:r>
    </w:p>
    <w:p>
      <w:pPr>
        <w:ind w:left="425"/>
      </w:pPr>
      <w:r>
        <w:t>6. спојни елементи од погонског агрегата до пропулзера (покрадени);</w:t>
      </w:r>
    </w:p>
    <w:p>
      <w:pPr>
        <w:ind w:left="425"/>
      </w:pPr>
      <w:r>
        <w:t>7. глава мотора једног погонског агрегата (скинута са мотора).</w:t>
      </w:r>
    </w:p>
    <w:p>
      <w:pPr>
        <w:pStyle w:val="Heading3"/>
      </w:pPr>
      <w:r>
        <w:t>Б) Оштећене, односно уништене ствари</w:t>
      </w:r>
    </w:p>
    <w:p>
      <w:pPr>
        <w:ind w:left="425"/>
      </w:pPr>
      <w:r>
        <w:t>1. бродска кабина (оштећена);</w:t>
      </w:r>
    </w:p>
    <w:p>
      <w:pPr>
        <w:ind w:left="425"/>
      </w:pPr>
      <w:r>
        <w:t>2. врата кабине (оштећена);</w:t>
      </w:r>
    </w:p>
    <w:p>
      <w:pPr>
        <w:ind w:left="425"/>
      </w:pPr>
      <w:r>
        <w:t>3. електрична инсталација брода (исечена);</w:t>
      </w:r>
    </w:p>
    <w:p>
      <w:pPr>
        <w:ind w:left="425"/>
      </w:pPr>
      <w:r>
        <w:t>4. бродске кабине — стамбени простор (вандализован);</w:t>
      </w:r>
    </w:p>
    <w:p>
      <w:pPr>
        <w:ind w:left="425"/>
      </w:pPr>
      <w:r>
        <w:t>5. машински простор (оштећен);</w:t>
      </w:r>
    </w:p>
    <w:p>
      <w:pPr>
        <w:ind w:left="425"/>
      </w:pPr>
      <w:r>
        <w:t>6. један погонски агрегат — мотор (оштећен скидањем главе мотора);</w:t>
      </w:r>
    </w:p>
    <w:p>
      <w:pPr>
        <w:ind w:left="425"/>
      </w:pPr>
      <w:r>
        <w:t>7. хидраулична инсталација у машинском простору (исечена).</w:t>
      </w:r>
    </w:p>
    <w:p>
      <w:pPr>
        <w:jc w:val="both"/>
      </w:pPr>
      <w:r>
        <w:t>Све напред наведено фотографисано је на дан примопредаје и документовано у фотодокументацији која чини саставни део извештаја судског вештака.</w:t>
      </w:r>
    </w:p>
    <w:p>
      <w:pPr>
        <w:pStyle w:val="Heading2"/>
      </w:pPr>
      <w:r>
        <w:t>IV-А — ОСНОВ ОДГОВОРНОСТИ ШТЕТНИКА</w:t>
      </w:r>
    </w:p>
    <w:p>
      <w:pPr>
        <w:jc w:val="both"/>
      </w:pPr>
      <w:r>
        <w:t xml:space="preserve">Однос оштећеног (наручиоца) и штетника 1. реда заснован је као </w:t>
      </w:r>
      <w:r>
        <w:rPr>
          <w:b/>
        </w:rPr>
        <w:t>уговор о делу</w:t>
      </w:r>
      <w:r>
        <w:t xml:space="preserve"> (чл. 600. и даље ЗОО) ради ремонта брода, при чему је брод предат штетнику у државину. Из тог односа за штетника произлази </w:t>
      </w:r>
      <w:r>
        <w:rPr>
          <w:b/>
        </w:rPr>
        <w:t>обавеза чувања поверене ствари</w:t>
      </w:r>
      <w:r>
        <w:t xml:space="preserve"> са пажњом </w:t>
      </w:r>
      <w:r>
        <w:rPr>
          <w:b/>
        </w:rPr>
        <w:t>доброг стручњака</w:t>
      </w:r>
      <w:r>
        <w:t xml:space="preserve">, будући да је реч о професионалном бродоградилишту (чл. 18. ст. 2. ЗОО), као и обавеза да брод по завршетку посла </w:t>
      </w:r>
      <w:r>
        <w:rPr>
          <w:b/>
        </w:rPr>
        <w:t>преда у посед</w:t>
      </w:r>
      <w:r>
        <w:t xml:space="preserve"> оштећеном (чл. 613. ЗОО).</w:t>
      </w:r>
    </w:p>
    <w:p>
      <w:pPr>
        <w:jc w:val="both"/>
      </w:pPr>
      <w:r>
        <w:t xml:space="preserve">Како је до отуђења и оштећења делова брода дошло </w:t>
      </w:r>
      <w:r>
        <w:rPr>
          <w:b/>
        </w:rPr>
        <w:t>док је брод био у поседу штетника, пре извршене примопредаје</w:t>
      </w:r>
      <w:r>
        <w:t xml:space="preserve">, штетник за насталу штету одговара по чл. 154. ст. 1, чл. 262. и чл. 18. ст. 2. ЗОО, при чему је </w:t>
      </w:r>
      <w:r>
        <w:rPr>
          <w:b/>
        </w:rPr>
        <w:t>терет доказивања</w:t>
      </w:r>
      <w:r>
        <w:t xml:space="preserve"> да штета није настала његовом кривицом (виша сила, случај) </w:t>
      </w:r>
      <w:r>
        <w:rPr>
          <w:b/>
        </w:rPr>
        <w:t>на штетнику</w:t>
      </w:r>
      <w:r>
        <w:t xml:space="preserve"> (чл. 263, чл. 262. ст. 5. ЗОО). Подела ризика случајне пропасти из чл. 626. ЗОО овде се не примењује, јер се не ради о случајној пропасти, већ о крађи и вандализму услед пропуста штетника у чувању брода.</w:t>
      </w:r>
    </w:p>
    <w:p>
      <w:pPr>
        <w:jc w:val="both"/>
      </w:pPr>
      <w:r>
        <w:t xml:space="preserve">Наведено потврђује и судска пракса, нарочито правни став Врховног касационог суда из одлуке </w:t>
      </w:r>
      <w:r>
        <w:rPr>
          <w:b/>
        </w:rPr>
        <w:t>Рев1 7/2017 од 12.10.2017. године</w:t>
      </w:r>
      <w:r>
        <w:t xml:space="preserve">: </w:t>
      </w:r>
      <w:r>
        <w:rPr>
          <w:i/>
        </w:rPr>
        <w:t>„Губитак, пропаст или оштећење ствари другог лица ствара обавезу држаоца ствари да власнику накнади штету у новцу у висини њене тржишне противвредности."</w:t>
      </w:r>
      <w:r>
        <w:t xml:space="preserve"> (детаљно у прилогу — Правна анализа и издвојене одлуке).</w:t>
      </w:r>
    </w:p>
    <w:p>
      <w:pPr>
        <w:pStyle w:val="Heading2"/>
      </w:pPr>
      <w:r>
        <w:t>IV — ОДШТЕТНИ ЗАХТЕВ</w:t>
      </w:r>
    </w:p>
    <w:p>
      <w:pPr>
        <w:jc w:val="both"/>
      </w:pPr>
      <w:r>
        <w:t xml:space="preserve">Одштетни захтев истакнут дописом пуномоћника оштећеног од 24.09.2025. године, у износу од 1.500.000,00 евра, овим се </w:t>
      </w:r>
      <w:r>
        <w:rPr>
          <w:b/>
        </w:rPr>
        <w:t>прецизира и увећава</w:t>
      </w:r>
      <w:r>
        <w:t xml:space="preserve">, имајући у виду да се изгубљена добит континуирано увећава за сваки даљи дан неупотребљивости брода, тако да се на име штете проузроковане извршењем кривичног дела, сагласно чл. 252–256. Законика о кривичном поступку, а у вези са чл. 154, 155, 185, 186, 189. и 395. Закона о облигационим односима, према штетницима 1. и 2. реда истиче одштетни захтев у укупном износу од </w:t>
      </w:r>
      <w:r>
        <w:rPr>
          <w:b/>
        </w:rPr>
        <w:t>1.600.000,00 евра (словима: милион и шесто хиљада евра)</w:t>
      </w:r>
      <w:r>
        <w:t xml:space="preserve"> у динарској противвредности по продајном курсу НБС на дан исплате, са законском затезном каматом од дана извршења кривичног дела до исплате.</w:t>
      </w:r>
    </w:p>
    <w:p>
      <w:pPr>
        <w:jc w:val="both"/>
      </w:pPr>
      <w:r>
        <w:t>По видовима штете, изјашњавамо се: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Вид штете</w:t>
            </w:r>
          </w:p>
        </w:tc>
        <w:tc>
          <w:tcPr>
            <w:tcW w:type="dxa" w:w="4703"/>
          </w:tcPr>
          <w:p>
            <w:r>
              <w:t>Износ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Обична (стварна) штета</w:t>
            </w:r>
            <w:r>
              <w:t xml:space="preserve"> — вредност отуђених ствари из тачке III/А и трошкови поправке оштећених ствари из тачке III/Б</w:t>
            </w:r>
          </w:p>
        </w:tc>
        <w:tc>
          <w:tcPr>
            <w:tcW w:type="dxa" w:w="4703"/>
          </w:tcPr>
          <w:p>
            <w:r/>
            <w:r>
              <w:rPr>
                <w:b/>
              </w:rPr>
              <w:t>600.000,00 евра</w:t>
            </w:r>
            <w:r/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Изгубљена добит (измакла корист)</w:t>
            </w:r>
            <w:r>
              <w:t xml:space="preserve"> — добит коју је оштећени основано очекивао од привредног искоришћавања брода (превоз терета), а која је изостала услед потпуне нефункционалности брода, рачунајући и даљи изостанак експлоатације — која се увећава за приближно 2.000,00 евра за сваки даљи дан неупотребљивости брода</w:t>
            </w:r>
          </w:p>
        </w:tc>
        <w:tc>
          <w:tcPr>
            <w:tcW w:type="dxa" w:w="4703"/>
          </w:tcPr>
          <w:p>
            <w:r/>
            <w:r>
              <w:rPr>
                <w:b/>
              </w:rPr>
              <w:t>1.000.000,00 евра</w:t>
            </w:r>
            <w:r/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УКУПНО</w:t>
            </w:r>
            <w:r/>
          </w:p>
        </w:tc>
        <w:tc>
          <w:tcPr>
            <w:tcW w:type="dxa" w:w="4703"/>
          </w:tcPr>
          <w:p>
            <w:r/>
            <w:r>
              <w:rPr>
                <w:b/>
              </w:rPr>
              <w:t>1.600.000,00 евра</w:t>
            </w:r>
            <w:r>
              <w:t xml:space="preserve"> (словима: милион и шесто хиљада евра)</w:t>
            </w:r>
          </w:p>
        </w:tc>
      </w:tr>
    </w:tbl>
    <w:p>
      <w:pPr>
        <w:jc w:val="both"/>
      </w:pPr>
      <w:r>
        <w:t xml:space="preserve">Изгубљена добит обрачуната је полазећи од просечне дневне зараде (возарине) брода наведене носивости, која износи приближно </w:t>
      </w:r>
      <w:r>
        <w:rPr>
          <w:b/>
        </w:rPr>
        <w:t>2.000,00 евра дневно</w:t>
      </w:r>
      <w:r>
        <w:t>, помножене бројем дана у којима је брод ван експлоатације, при чему се иста увећава за сваки даљи дан неупотребљивости брода [</w:t>
      </w:r>
      <w:r>
        <w:rPr>
          <w:i/>
        </w:rPr>
        <w:t>документација о возаринама/уговорима о превозу биће накнадно достављена</w:t>
      </w:r>
      <w:r>
        <w:t>].</w:t>
      </w:r>
    </w:p>
    <w:p>
      <w:pPr>
        <w:jc w:val="both"/>
      </w:pPr>
      <w:r/>
      <w:r>
        <w:rPr>
          <w:b/>
        </w:rPr>
        <w:t>Напомена о вредности појединачних ствари:</w:t>
      </w:r>
      <w:r>
        <w:t xml:space="preserve"> вредност сваке појединачне отуђене, односно оштећене ствари из тачке III биће прецизно утврђена целокупном дефектажом брода од стране сервисера машинске и електро струке и вештачењем одговарајуће струке, како је констатовано у извештају судског вештака. Оштећени задржава право да одштетни захтев прецизира, односно измени по извршеној дефектажи и вештачењу, као и да део захтева остварује у парничном поступку (чл. 252. ст. 2. и чл. 258. ЗКП).</w:t>
      </w:r>
    </w:p>
    <w:p>
      <w:pPr>
        <w:pStyle w:val="Heading2"/>
      </w:pPr>
      <w:r>
        <w:t>V — ПРЕДЛОГ</w:t>
      </w:r>
    </w:p>
    <w:p>
      <w:pPr>
        <w:jc w:val="both"/>
      </w:pPr>
      <w:r>
        <w:t>Предлаже се да поступајући орган:</w:t>
      </w:r>
    </w:p>
    <w:p>
      <w:pPr>
        <w:ind w:left="425"/>
      </w:pPr>
      <w:r>
        <w:t>1. прими ово изјашњење и одштетни захтев у списе предмета и о њему обавести надлежно јавно тужилаштво;</w:t>
      </w:r>
    </w:p>
    <w:p>
      <w:pPr>
        <w:ind w:left="425"/>
      </w:pPr>
      <w:r>
        <w:t>2. од штетника 1. реда прибави документацију о пријему брода на ремонт, изведеним радовима и лицима која су имала приступ броду;</w:t>
      </w:r>
    </w:p>
    <w:p>
      <w:pPr>
        <w:ind w:left="425"/>
      </w:pPr>
      <w:r>
        <w:t>3. предузме мере из своје надлежности ради проналаска отуђених ствари (посебно два пропулзера „Schottel", радара, радио станице и агрегата) и идентификовања извршилаца;</w:t>
      </w:r>
    </w:p>
    <w:p>
      <w:pPr>
        <w:ind w:left="425"/>
      </w:pPr>
      <w:r>
        <w:t>4. о предузетим мерама обавести оштећеног преко пуномоћника.</w:t>
      </w:r>
    </w:p>
    <w:p>
      <w:pPr>
        <w:pStyle w:val="Heading2"/>
      </w:pPr>
      <w:r>
        <w:t>ДОКАЗИ</w:t>
      </w:r>
    </w:p>
    <w:p>
      <w:pPr>
        <w:jc w:val="both"/>
      </w:pPr>
      <w:r>
        <w:t>Достављени уз допис пуномоћника оштећеног од 24.09.2025. године:</w:t>
      </w:r>
    </w:p>
    <w:p>
      <w:pPr>
        <w:ind w:left="425"/>
      </w:pPr>
      <w:r>
        <w:t>1. Бродско сведочанство Републике Србије за предметни брод;</w:t>
      </w:r>
    </w:p>
    <w:p>
      <w:pPr>
        <w:ind w:left="425"/>
      </w:pPr>
      <w:r>
        <w:t>2. Извод Лучке капетаније Нови Сад за предметни брод;</w:t>
      </w:r>
    </w:p>
    <w:p>
      <w:pPr>
        <w:ind w:left="425"/>
      </w:pPr>
      <w:r>
        <w:t>3. Понуда за Записник о преузимању брода, заказану за дан 11.09.2025. године, понуђен од стране штетника 1. и 2. реда;</w:t>
      </w:r>
    </w:p>
    <w:p>
      <w:pPr>
        <w:ind w:left="425"/>
      </w:pPr>
      <w:r>
        <w:t>4. Извештај о затеченом стању предметног брода на дан 11.09.2025. године, израђен од стране судског вештака машинске струке др Милана Радошевића из Новог Сада;</w:t>
      </w:r>
    </w:p>
    <w:p>
      <w:pPr>
        <w:ind w:left="425"/>
      </w:pPr>
      <w:r>
        <w:t>5. Правна анализа одговорности штетника (са одредбама прописа и судском праксом);</w:t>
      </w:r>
    </w:p>
    <w:p>
      <w:pPr>
        <w:ind w:left="425"/>
      </w:pPr>
      <w:r>
        <w:t>6. Издвојене одлуке судске праксе (Рев1 7/2017; Рев 12733/2024; Прев 154/2023);</w:t>
      </w:r>
    </w:p>
    <w:p>
      <w:pPr>
        <w:ind w:left="425"/>
      </w:pPr>
      <w:r>
        <w:t>7. пуномоћ.</w:t>
      </w:r>
    </w:p>
    <w:p>
      <w:pPr>
        <w:jc w:val="both"/>
      </w:pPr>
      <w:r>
        <w:t>За кореспонденцију: адв. Милан Мишић, Нови Сад, Максима Горког бр. 6, моб. телефон: 064/0327-019, мејл: milan.misic.advokat@gmail.com</w:t>
      </w:r>
    </w:p>
    <w:p>
      <w:pPr>
        <w:jc w:val="both"/>
      </w:pPr>
      <w:r>
        <w:t>Нови Сад,</w:t>
      </w:r>
    </w:p>
    <w:p>
      <w:pPr>
        <w:jc w:val="both"/>
      </w:pPr>
      <w:r>
        <w:t>дана [____.____.2026.] године</w:t>
      </w:r>
    </w:p>
    <w:p>
      <w:pPr>
        <w:jc w:val="both"/>
      </w:pPr>
      <w:r/>
      <w:r>
        <w:rPr>
          <w:b/>
        </w:rPr>
        <w:t>адв. Милан Мишић</w:t>
      </w:r>
      <w:r/>
    </w:p>
    <w:p>
      <w:pPr>
        <w:jc w:val="both"/>
      </w:pPr>
      <w:r>
        <w:t>___________________________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