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ПРАВНА АНАЛИЗА</w:t>
      </w:r>
    </w:p>
    <w:p>
      <w:pPr>
        <w:pStyle w:val="Heading2"/>
      </w:pPr>
      <w:r>
        <w:t>Одговорност лица коме је брод предат ради ремонта (оправљања) за нестанак и оштећење делова брода до примопредаје наручиоцу</w:t>
      </w:r>
    </w:p>
    <w:p>
      <w:pPr>
        <w:jc w:val="both"/>
      </w:pPr>
      <w:r/>
      <w:r>
        <w:rPr>
          <w:i/>
        </w:rPr>
        <w:t>Предмет: брод „Бечеј I", власништво VUKOVIĆ COMMERCE 2015 DOO VETERNIK — догађај од 11.09.2025. године; штетник BEGEJ SHIPYARDS GROUP DOO ZRENJANIN</w:t>
      </w:r>
      <w:r/>
    </w:p>
    <w:p>
      <w:pPr>
        <w:pStyle w:val="Heading2"/>
      </w:pPr>
      <w:r>
        <w:t>1. ПРАВНА КВАЛИФИКАЦИЈА ОДНОСА</w:t>
      </w:r>
    </w:p>
    <w:p>
      <w:pPr>
        <w:jc w:val="both"/>
      </w:pPr>
      <w:r>
        <w:t xml:space="preserve">Између оштећеног (наручиоца) и штетника BEGEJ SHIPYARDS GROUP DOO ZRENJANIN (посленика) заснован је </w:t>
      </w:r>
      <w:r>
        <w:rPr>
          <w:b/>
        </w:rPr>
        <w:t>уговор о делу</w:t>
      </w:r>
      <w:r>
        <w:t xml:space="preserve"> (чл. 600. и даље Закона о облигационим односима — у даљем тексту: ЗОО), чији је предмет ремонт — оправљање брода „Бечеј I". Ради извршења тог посла, наручилац је посленику </w:t>
      </w:r>
      <w:r>
        <w:rPr>
          <w:b/>
        </w:rPr>
        <w:t>предао брод у државину</w:t>
      </w:r>
      <w:r>
        <w:t>, на локалитету Перлез.</w:t>
      </w:r>
    </w:p>
    <w:p>
      <w:pPr>
        <w:jc w:val="both"/>
      </w:pPr>
      <w:r>
        <w:t xml:space="preserve">Битно обележје оваквог уговора о делу јесте да посленик, поред обавезе да изврши и преда рад, има и </w:t>
      </w:r>
      <w:r>
        <w:rPr>
          <w:b/>
        </w:rPr>
        <w:t>инхерентну обавезу да чува предату му туђу ствар</w:t>
      </w:r>
      <w:r>
        <w:t xml:space="preserve"> док се она налази у његовом поседу, те да је по завршетку посла </w:t>
      </w:r>
      <w:r>
        <w:rPr>
          <w:b/>
        </w:rPr>
        <w:t>врати, односно преда</w:t>
      </w:r>
      <w:r>
        <w:t xml:space="preserve"> наручиоцу (примопредаја). Та обавеза чувања произлази из природе посла и из правила о остави која се сходно примењују на сваког ко по основу уговора држи туђу ствар.</w:t>
      </w:r>
    </w:p>
    <w:p>
      <w:pPr>
        <w:pStyle w:val="Heading2"/>
      </w:pPr>
      <w:r>
        <w:t>2. ОДГОВОР НА ПИТАЊЕ КО ЈЕ БИО ДУЖАН ДА ИЗВРШИ ПРИМОПРЕДАЈУ</w:t>
      </w:r>
    </w:p>
    <w:p>
      <w:pPr>
        <w:jc w:val="both"/>
      </w:pPr>
      <w:r>
        <w:t xml:space="preserve">Лице које обавља посао (посленик — извођач радова) дужно је да по завршеном послу </w:t>
      </w:r>
      <w:r>
        <w:rPr>
          <w:b/>
        </w:rPr>
        <w:t>обавести налогодавца (наручиоца)</w:t>
      </w:r>
      <w:r>
        <w:t xml:space="preserve"> и да му омогући проверу обављеног посла, односно да утврди да ли је све урађено како је договорено. Тек </w:t>
      </w:r>
      <w:r>
        <w:rPr>
          <w:b/>
        </w:rPr>
        <w:t>предајом ствари у посед наручиоца</w:t>
      </w:r>
      <w:r>
        <w:t xml:space="preserve"> посленик испуњава своју обавезу из чл. 613. ЗОО:</w:t>
      </w:r>
    </w:p>
    <w:p>
      <w:pPr>
        <w:pStyle w:val="Quote"/>
        <w:ind w:left="567"/>
      </w:pPr>
      <w:r/>
      <w:r>
        <w:rPr>
          <w:b/>
        </w:rPr>
        <w:t>Члан 613. ЗОО</w:t>
      </w:r>
      <w:r>
        <w:t xml:space="preserve"> — (1) Посленик је дужан предати наручиоцу израђену или оправљену ствар. (2) Посленик се ослобађа ове обавезе ако ствар коју је израдио или оправио пропадне из узрока за који он не одговара.</w:t>
      </w:r>
    </w:p>
    <w:p>
      <w:pPr>
        <w:jc w:val="both"/>
      </w:pPr>
      <w:r>
        <w:t xml:space="preserve">Дакле, </w:t>
      </w:r>
      <w:r>
        <w:rPr>
          <w:b/>
        </w:rPr>
        <w:t>штетник BEGEJ SHIPYARDS GROUP DOO ZRENJANIN је био дужан да брод преда у посед оштећеном</w:t>
      </w:r>
      <w:r>
        <w:t xml:space="preserve">, и то управо он је заказао и понудио Записник о преузимању брода за дан 11.09.2025. године — чиме је и сам признао да сматра да је посао завршен и брод спреман за примопредају. </w:t>
      </w:r>
      <w:r>
        <w:rPr>
          <w:b/>
        </w:rPr>
        <w:t>Све док је брод у поседу посленика, до уредне примопредаје, на посленику је одговорност за све што се са бродом догоди.</w:t>
      </w:r>
      <w:r/>
    </w:p>
    <w:p>
      <w:pPr>
        <w:pStyle w:val="Heading2"/>
      </w:pPr>
      <w:r>
        <w:t>3. РИЗИК И ТЕРЕТ ОДГОВОРНОСТИ ДО ПРЕДАЈЕ</w:t>
      </w:r>
    </w:p>
    <w:p>
      <w:pPr>
        <w:pStyle w:val="Quote"/>
        <w:ind w:left="567"/>
      </w:pPr>
      <w:r/>
      <w:r>
        <w:rPr>
          <w:b/>
        </w:rPr>
        <w:t>Члан 625. став 2. ЗОО</w:t>
      </w:r>
      <w:r>
        <w:t xml:space="preserve"> — Ако је наручилац прегледао извршени рад и одобрио га, сматра се да му је ствар предата, а да је код посленика остала на чувању.</w:t>
      </w:r>
    </w:p>
    <w:p>
      <w:pPr>
        <w:jc w:val="both"/>
      </w:pPr>
      <w:r>
        <w:t xml:space="preserve">A contrario — </w:t>
      </w:r>
      <w:r>
        <w:rPr>
          <w:b/>
        </w:rPr>
        <w:t>док наручилац није прегледао и одобрио рад и примио ствар у посед, ствар се не сматра преданом</w:t>
      </w:r>
      <w:r>
        <w:t>, и налази се у сфери ризика и одговорности посленика.</w:t>
      </w:r>
    </w:p>
    <w:p>
      <w:pPr>
        <w:pStyle w:val="Quote"/>
        <w:ind w:left="567"/>
      </w:pPr>
      <w:r/>
      <w:r>
        <w:rPr>
          <w:b/>
        </w:rPr>
        <w:t>Члан 626. ЗОО</w:t>
      </w:r>
      <w:r>
        <w:t xml:space="preserve"> — (1) Ризик случајне пропасти или оштећења ствари сноси наручилац ако је он дао материјал за израду. (2) У том случају, посленик има право на накнаду само ако је ствар пропала или била оштећена после доласка наручиоца у доцњу, или ако се наручилац није одазвао његовом уредном позиву да ствар прегледа.</w:t>
      </w:r>
    </w:p>
    <w:p>
      <w:pPr>
        <w:jc w:val="both"/>
      </w:pPr>
      <w:r/>
      <w:r>
        <w:rPr>
          <w:b/>
        </w:rPr>
        <w:t>Кључна правна поента:</w:t>
      </w:r>
      <w:r>
        <w:t xml:space="preserve"> Члан 626. ЗОО дели само ризик </w:t>
      </w:r>
      <w:r>
        <w:rPr>
          <w:b/>
        </w:rPr>
        <w:t>СЛУЧАЈНЕ</w:t>
      </w:r>
      <w:r>
        <w:t xml:space="preserve"> (некриве) пропасти или оштећења ствари. Он </w:t>
      </w:r>
      <w:r>
        <w:rPr>
          <w:b/>
        </w:rPr>
        <w:t>НЕ ослобађа</w:t>
      </w:r>
      <w:r>
        <w:t xml:space="preserve"> посленика одговорности када је штета, нестанак или оштећење ствари последица </w:t>
      </w:r>
      <w:r>
        <w:rPr>
          <w:b/>
        </w:rPr>
        <w:t>његовог пропуста у чувању</w:t>
      </w:r>
      <w:r>
        <w:t xml:space="preserve"> ствари (повреда дужне пажње). Нестанак виталних делова брода (два пропулзера „Schottel", агрегат, радар, радио станица), исецање електро и хидрауличне инсталације и скидање главе мотора — </w:t>
      </w:r>
      <w:r>
        <w:rPr>
          <w:b/>
        </w:rPr>
        <w:t>нису „случајна пропаст"</w:t>
      </w:r>
      <w:r>
        <w:t xml:space="preserve">, већ су последица крађе, односно вандализма до којих је дошло </w:t>
      </w:r>
      <w:r>
        <w:rPr>
          <w:b/>
        </w:rPr>
        <w:t>док је брод био искључиво у поседу и под надзором посленика</w:t>
      </w:r>
      <w:r>
        <w:t>. Стога се штетник не може позвати на чл. 626. ЗОО.</w:t>
      </w:r>
    </w:p>
    <w:p>
      <w:pPr>
        <w:pStyle w:val="Heading2"/>
      </w:pPr>
      <w:r>
        <w:t>4. СТАНДАРД ПАЖЊЕ — ПОЈАЧАНА ОДГОВОРНОСТ ПРОФЕСИОНАЛЦА</w:t>
      </w:r>
    </w:p>
    <w:p>
      <w:pPr>
        <w:pStyle w:val="Quote"/>
        <w:ind w:left="567"/>
      </w:pPr>
      <w:r/>
      <w:r>
        <w:rPr>
          <w:b/>
        </w:rPr>
        <w:t>Члан 18. ЗОО</w:t>
      </w:r>
      <w:r>
        <w:t xml:space="preserve"> — (1) Страна у облигационом односу дужна је да у извршавању своје обавезе поступа са пажњом која се у правном промету захтева... (пажња доброг привредника, односно доброг домаћина). (2) Страна у облигационом односу дужна је да у извршавању обавезе </w:t>
      </w:r>
      <w:r>
        <w:rPr>
          <w:b/>
        </w:rPr>
        <w:t>из своје професионалне делатности поступа с повећаном пажњом, према правилима струке и обичајима (пажња доброг стручњака).</w:t>
      </w:r>
      <w:r/>
    </w:p>
    <w:p>
      <w:pPr>
        <w:jc w:val="both"/>
      </w:pPr>
      <w:r>
        <w:t xml:space="preserve">BEGEJ SHIPYARDS GROUP DOO ZRENJANIN је </w:t>
      </w:r>
      <w:r>
        <w:rPr>
          <w:b/>
        </w:rPr>
        <w:t>професионално бродоградилиште</w:t>
      </w:r>
      <w:r>
        <w:t xml:space="preserve"> (претежна делатност: поправка и одржавање бродова и чамаца — шифра 3315). Зато у погледу чувања повереног брода </w:t>
      </w:r>
      <w:r>
        <w:rPr>
          <w:b/>
        </w:rPr>
        <w:t>одговара по највишем стандарду — пажњи доброг стручњака</w:t>
      </w:r>
      <w:r>
        <w:t xml:space="preserve"> (чл. 18. ст. 2. ЗОО). Пропуст да обезбеди брод од крађе виталних делова представља грубу повреду тог стандарда.</w:t>
      </w:r>
    </w:p>
    <w:p>
      <w:pPr>
        <w:pStyle w:val="Heading2"/>
      </w:pPr>
      <w:r>
        <w:t>5. ОСНОВ И ПРЕТПОСТАВКА ОДГОВОРНОСТИ — ТЕРЕТ ДОКАЗИВАЊА НА ШТЕТНИКУ</w:t>
      </w:r>
    </w:p>
    <w:p>
      <w:pPr>
        <w:pStyle w:val="Quote"/>
        <w:ind w:left="567"/>
      </w:pPr>
      <w:r/>
      <w:r>
        <w:rPr>
          <w:b/>
        </w:rPr>
        <w:t>Члан 154. став 1. ЗОО</w:t>
      </w:r>
      <w:r>
        <w:t xml:space="preserve"> — Ко другоме проузрокује штету дужан је накнадити је, уколико не докаже да је штета настала без његове кривице.</w:t>
      </w:r>
    </w:p>
    <w:p>
      <w:pPr>
        <w:pStyle w:val="Quote"/>
        <w:ind w:left="567"/>
      </w:pPr>
      <w:r/>
      <w:r>
        <w:rPr>
          <w:b/>
        </w:rPr>
        <w:t>Члан 262. ЗОО</w:t>
      </w:r>
      <w:r>
        <w:t xml:space="preserve"> — (2) Кад дужник не испуни обавезу или задоцни са њеним испуњењем, поверилац има право захтевати и накнаду штете коју је услед тога претрпео... (4) Дужник одговара и за делимичну или потпуну немогућност испуњења и ако ту немогућност није скривио ако је наступила после његовог доласка у доцњу... (5) Али се дужник ослобађа одговорности за штету ако докаже да би ствар која је предмет обавезе случајно пропала и да је он своју обавезу на време испунио.</w:t>
      </w:r>
    </w:p>
    <w:p>
      <w:pPr>
        <w:pStyle w:val="Quote"/>
        <w:ind w:left="567"/>
      </w:pPr>
      <w:r/>
      <w:r>
        <w:rPr>
          <w:b/>
        </w:rPr>
        <w:t>Члан 263. ЗОО</w:t>
      </w:r>
      <w:r>
        <w:t xml:space="preserve"> — Дужник се ослобађа одговорности за штету ако докаже да није могао да испуни своју обавезу... због околности насталих после закључења уговора које није могао спречити, отклонити или избећи.</w:t>
      </w:r>
    </w:p>
    <w:p>
      <w:pPr>
        <w:jc w:val="both"/>
      </w:pPr>
      <w:r>
        <w:t xml:space="preserve">Из наведеног произлази да је </w:t>
      </w:r>
      <w:r>
        <w:rPr>
          <w:b/>
        </w:rPr>
        <w:t>на штетнику терет доказивања</w:t>
      </w:r>
      <w:r>
        <w:t xml:space="preserve"> да штета није настала његовом кривицом, односно да је до нестанка/оштећења делова дошло услед више силе или околности које није могао спречити. Док тај доказ не пружи — </w:t>
      </w:r>
      <w:r>
        <w:rPr>
          <w:b/>
        </w:rPr>
        <w:t>одговара за целокупну штету</w:t>
      </w:r>
      <w:r>
        <w:t>.</w:t>
      </w:r>
    </w:p>
    <w:p>
      <w:pPr>
        <w:pStyle w:val="Heading2"/>
      </w:pPr>
      <w:r>
        <w:t>6. СУПСИДИЈАРНИ ОСНОВ — ПРАВИЛА ОСТАВЕ (СХОДНА ПРИМЕНА)</w:t>
      </w:r>
    </w:p>
    <w:p>
      <w:pPr>
        <w:pStyle w:val="Quote"/>
        <w:ind w:left="567"/>
      </w:pPr>
      <w:r/>
      <w:r>
        <w:rPr>
          <w:b/>
        </w:rPr>
        <w:t>Члан 714. став 1. ЗОО</w:t>
      </w:r>
      <w:r>
        <w:t xml:space="preserve"> — Оставопримац је дужан чувати ствар као своју сопствену, а ако је остава уз накнаду, </w:t>
      </w:r>
      <w:r>
        <w:rPr>
          <w:b/>
        </w:rPr>
        <w:t>као добар привредник, односно добар домаћин.</w:t>
      </w:r>
      <w:r/>
    </w:p>
    <w:p>
      <w:pPr>
        <w:pStyle w:val="Quote"/>
        <w:ind w:left="567"/>
      </w:pPr>
      <w:r/>
      <w:r>
        <w:rPr>
          <w:b/>
        </w:rPr>
        <w:t>Члан 715. ЗОО</w:t>
      </w:r>
      <w:r>
        <w:t xml:space="preserve"> — Оставопримац не може без пристанка оставодавца, или без нужде, предати поверену му ствар другоме да је чува, иначе одговара и за њену случајну пропаст или оштећење.</w:t>
      </w:r>
    </w:p>
    <w:p>
      <w:pPr>
        <w:jc w:val="both"/>
      </w:pPr>
      <w:r>
        <w:t>Како је реч о држању туђе ствари уз накнаду (ремонт се плаћа), правила о остави сходно потврђују обавезу штетника да брод чува са пажњом доброг привредника/стручњака, те појачавају његову одговорност.</w:t>
      </w:r>
    </w:p>
    <w:p>
      <w:pPr>
        <w:pStyle w:val="Heading2"/>
      </w:pPr>
      <w:r>
        <w:t>7. СУДСКА ПРАКСА (ВЕРИФИКОВАНО — ДЕТАЉНО У ПОСЕБНИМ ДОКУМЕНТИМА)</w:t>
      </w:r>
    </w:p>
    <w:p>
      <w:pPr>
        <w:pStyle w:val="ListBullet"/>
      </w:pPr>
      <w:r/>
      <w:r>
        <w:rPr>
          <w:b/>
        </w:rPr>
        <w:t>Врховни касациони суд, Рев1 7/2017 од 12.10.2017. године</w:t>
      </w:r>
      <w:r>
        <w:t xml:space="preserve"> — правни став: </w:t>
      </w:r>
      <w:r>
        <w:rPr>
          <w:i/>
        </w:rPr>
        <w:t>„Губитак, пропаст или оштећење ствари другог лица ствара обавезу држаоца ствари да власнику накнади штету у новцу у висини њене тржишне противвредности."</w:t>
      </w:r>
      <w:r>
        <w:t xml:space="preserve"> (видети посебан документ — Пракса 1).</w:t>
      </w:r>
    </w:p>
    <w:p>
      <w:pPr>
        <w:pStyle w:val="ListBullet"/>
      </w:pPr>
      <w:r/>
      <w:r>
        <w:rPr>
          <w:b/>
        </w:rPr>
        <w:t>Врховни суд, Рев 12733/2024</w:t>
      </w:r>
      <w:r>
        <w:t xml:space="preserve"> — потврђује да код уговора о делу наручилац у сваком случају има право на накнаду штете (видети Пракса 2).</w:t>
      </w:r>
    </w:p>
    <w:p>
      <w:pPr>
        <w:pStyle w:val="ListBullet"/>
      </w:pPr>
      <w:r/>
      <w:r>
        <w:rPr>
          <w:b/>
        </w:rPr>
        <w:t>Врховни суд, Прев 154/2023 од 14.12.2023. године</w:t>
      </w:r>
      <w:r>
        <w:t xml:space="preserve"> — квалификација односа као уговора о делу и механика права наручиоца (видети Пракса 3).</w:t>
      </w:r>
    </w:p>
    <w:p>
      <w:pPr>
        <w:pStyle w:val="Quote"/>
        <w:ind w:left="567"/>
      </w:pPr>
      <w:r/>
      <w:r>
        <w:rPr>
          <w:b/>
        </w:rPr>
        <w:t>Напомена о домашају праксе:</w:t>
      </w:r>
      <w:r>
        <w:t xml:space="preserve"> ниједна од објављених одлука које су могле бити прочитане не поклапа се чињенично у потпуности (нестанак делова брода поверног на ремонт). Рев1 7/2017 је најближа — тиче се одговорности држаоца за отуђење туђе ствари из његовог поседа, али у том предмету је однос квалификован као закуп, па је суд применио другачији терет доказивања. Зато је у овом предмету пресудно инсистирати на квалификацији односа као </w:t>
      </w:r>
      <w:r>
        <w:rPr>
          <w:b/>
        </w:rPr>
        <w:t>уговора о делу са обавезом чувања</w:t>
      </w:r>
      <w:r>
        <w:t xml:space="preserve"> (а не закупа простора), чиме се активира појачана пажња и претпостављена кривица посленика.</w:t>
      </w:r>
    </w:p>
    <w:p>
      <w:pPr>
        <w:pStyle w:val="Heading2"/>
      </w:pPr>
      <w:r>
        <w:t>8. ЗАКЉУЧАК</w:t>
      </w:r>
    </w:p>
    <w:p>
      <w:pPr>
        <w:ind w:left="425"/>
      </w:pPr>
      <w:r>
        <w:t>1. Однос оштећеног и штетника је уговор о делу (ремонт брода) са инхерентном обавезом штетника да чува поверени брод и да га преда у посед оштећеном.</w:t>
      </w:r>
    </w:p>
    <w:p>
      <w:pPr>
        <w:ind w:left="425"/>
      </w:pPr>
      <w:r>
        <w:t>2. Примопредају је био дужан да изврши штетник BEGEJ SHIPYARDS GROUP DOO ZRENJANIN (преко директора Душка Топаловића), који је и заказао Записник о преузимању за 11.09.2025. године.</w:t>
      </w:r>
    </w:p>
    <w:p>
      <w:pPr>
        <w:ind w:left="425"/>
      </w:pPr>
      <w:r>
        <w:t xml:space="preserve">3. До нестанка и оштећења делова брода дошло је </w:t>
      </w:r>
      <w:r>
        <w:rPr>
          <w:b/>
        </w:rPr>
        <w:t>док је брод био у поседу и под надзором штетника</w:t>
      </w:r>
      <w:r>
        <w:t>, пре извршене примопредаје — те штетник за насталу штету одговара по чл. 154. ст. 1, чл. 262. и чл. 18. ст. 2. ЗОО, са теретом доказивања ослобођења на својој страни (чл. 263, чл. 262. ст. 5. ЗОО).</w:t>
      </w:r>
    </w:p>
    <w:p>
      <w:pPr>
        <w:ind w:left="425"/>
      </w:pPr>
      <w:r>
        <w:t>4. Позивање штетника на ризик из чл. 626. ЗОО није основано, јер тај члан покрива само случајну, а не криву пропаст/оштећење.</w:t>
      </w:r>
    </w:p>
    <w:p>
      <w:pPr>
        <w:jc w:val="both"/>
      </w:pPr>
      <w:r/>
      <w:r>
        <w:rPr>
          <w:i/>
        </w:rPr>
        <w:t>Напомена о извору: текст чланова ЗОО доследно је преузет из званичног издања (PDF Правног факултета Универзитета у Београду). Цитати судских одлука проверени су отварањем званичног портала Врховног суда (vrh.sud.rs); пре подношења препоручује се лична провера сваког цитата директним отварањем одлуке.</w:t>
      </w:r>
      <w:r/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