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године; КУ бр. [_______] (</w:t>
      </w:r>
      <w:r>
        <w:rPr>
          <w:i/>
        </w:rPr>
        <w:t>уписати број предмета</w:t>
      </w:r>
      <w:r>
        <w:t>)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ПРЕЦИЗИРАНИМ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 Примопредаја није извршена из разлога наведених у тачки I.4. овог изјашњења.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>1. бродска кабина (оштећена);</w:t>
      </w:r>
    </w:p>
    <w:p>
      <w:pPr>
        <w:ind w:left="425"/>
      </w:pPr>
      <w:r>
        <w:t>2. врата кабине (оштећена);</w:t>
      </w:r>
    </w:p>
    <w:p>
      <w:pPr>
        <w:ind w:left="425"/>
      </w:pPr>
      <w:r>
        <w:t>3. електрична инсталација брода (исечена);</w:t>
      </w:r>
    </w:p>
    <w:p>
      <w:pPr>
        <w:ind w:left="425"/>
      </w:pPr>
      <w:r>
        <w:t>4. бродске кабине — стамбени простор (вандализован);</w:t>
      </w:r>
    </w:p>
    <w:p>
      <w:pPr>
        <w:ind w:left="425"/>
      </w:pPr>
      <w:r>
        <w:t>5. машински простор (оштећен);</w:t>
      </w:r>
    </w:p>
    <w:p>
      <w:pPr>
        <w:ind w:left="425"/>
      </w:pPr>
      <w:r>
        <w:t>6. један погонски агрегат — мотор (оштећен скидањем главе мотора);</w:t>
      </w:r>
    </w:p>
    <w:p>
      <w:pPr>
        <w:ind w:left="425"/>
      </w:pPr>
      <w:r>
        <w:t>7. хидраулична инсталација у машинском простору (исечена).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 — ПРЕЦИЗИРАНИ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 овим се </w:t>
      </w:r>
      <w:r>
        <w:rPr>
          <w:b/>
        </w:rPr>
        <w:t>прецизира</w:t>
      </w:r>
      <w:r>
        <w:t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захтев, и то: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вредност отуђених ствари из тачке III/А и трошкови поправке оштећених ствари из тачке III/Б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400.000,00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800.000,00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1.200.000,00 евра</w:t>
            </w:r>
            <w:r>
              <w:t xml:space="preserve"> (словима: милион и двеста хиљада евра)</w:t>
            </w:r>
          </w:p>
        </w:tc>
      </w:tr>
    </w:tbl>
    <w:p>
      <w:pPr>
        <w:jc w:val="both"/>
      </w:pPr>
      <w:r>
        <w:t>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>
        <w:t>Изгубљена добит обрачуната је полазећи од [</w:t>
      </w:r>
      <w:r>
        <w:rPr>
          <w:i/>
        </w:rPr>
        <w:t>уписати: уговори о превозу / писма о намерама / просечна дневна возарина за брод наведене носивости × број дана ван експлоатације — документација ће бити накнадно достављена</w:t>
      </w:r>
      <w:r>
        <w:t>].</w:t>
      </w:r>
    </w:p>
    <w:p>
      <w:pPr>
        <w:jc w:val="both"/>
      </w:pPr>
      <w:r/>
      <w:r>
        <w:rPr>
          <w:b/>
        </w:rPr>
        <w:t>Напомена о вредности појединачних ствари:</w:t>
      </w:r>
      <w:r>
        <w:t xml:space="preserve"> вредност сваке појединачне отуђене, односно оштећене ствари из тачке III биће прецизно утврђена целокупном дефектажом брода од стране сервисера машинске и електро струке и вештачењем одговарајуће струке, како је констатовано у извештају судског вештака. Оштећени задржава право да одштетни захтев прецизира, односно измени по извршеној дефектажи и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прецизирани одштетни захтев у списе предмета и о њему обавести надлежно јавно тужилаштво;</w:t>
      </w:r>
    </w:p>
    <w:p>
      <w:pPr>
        <w:ind w:left="425"/>
      </w:pPr>
      <w:r>
        <w:t>2. од штетника 1. реда прибави документацију о пријему брода на ремонт, изведеним радовима и лицима која су имала приступ броду;</w:t>
      </w:r>
    </w:p>
    <w:p>
      <w:pPr>
        <w:ind w:left="425"/>
      </w:pPr>
      <w:r>
        <w:t>3.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4.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both"/>
      </w:pPr>
      <w:r/>
      <w:r>
        <w:rPr>
          <w:b/>
        </w:rPr>
        <w:t>адв. Милан Мишић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