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</w:rPr>
        <w:t>СУДСКА ПРАКСА — ДОКУМЕНТ 1</w:t>
      </w:r>
    </w:p>
    <w:p>
      <w:pPr>
        <w:pStyle w:val="Heading2"/>
      </w:pPr>
      <w:r>
        <w:rPr>
          <w:color w:val="000000"/>
        </w:rPr>
        <w:t>Врховни касациони суд, Рев1 7/2017 од 12.10.2017. године</w:t>
      </w:r>
    </w:p>
    <w:p>
      <w:pPr>
        <w:jc w:val="both"/>
      </w:pPr>
      <w:r/>
      <w:r>
        <w:rPr>
          <w:b/>
        </w:rPr>
        <w:t>Област:</w:t>
      </w:r>
      <w:r>
        <w:t xml:space="preserve"> облигационо право — накнада штете; одговорност држаоца за губитак/отуђење туђе ствари из његовог поседа</w:t>
      </w:r>
    </w:p>
    <w:p>
      <w:pPr>
        <w:jc w:val="both"/>
      </w:pPr>
      <w:r/>
      <w:r>
        <w:rPr>
          <w:b/>
        </w:rPr>
        <w:t>Извор (званични портал):</w:t>
      </w:r>
      <w:r>
        <w:t xml:space="preserve"> https://www.vrh.sud.rs/sr-lat/rev1-72017-obligaciono-pravo-naknada-%C5%A1tete</w:t>
      </w:r>
    </w:p>
    <w:p>
      <w:pPr>
        <w:pStyle w:val="Heading3"/>
      </w:pPr>
      <w:r>
        <w:rPr>
          <w:color w:val="000000"/>
        </w:rPr>
        <w:t>Изрека (дисозитив) — доословно</w:t>
      </w:r>
    </w:p>
    <w:p>
      <w:pPr>
        <w:pStyle w:val="Quote"/>
        <w:ind w:left="567"/>
      </w:pPr>
      <w:r>
        <w:t>УКИДАЈУ СЕ пресуда Апелационог суда у Новом Саду Гж 4241/13 од 22.05.2014. године у делу којим је потврђена пресуда Вишег суда у Панчеву П 1/13 од 04.09.2013. године у ставу првом и трећем изреке и пресуда Вишег суда у Панчеву П 1/13 од 04.09.2013. године у истом делу, па се у том делу предмет враћа првостепеном суду на поновно суђење.</w:t>
      </w:r>
    </w:p>
    <w:p>
      <w:pPr>
        <w:pStyle w:val="Heading3"/>
      </w:pPr>
      <w:r>
        <w:rPr>
          <w:color w:val="000000"/>
        </w:rPr>
        <w:t>Правни став / кључно из образложења — доословно</w:t>
      </w:r>
    </w:p>
    <w:p>
      <w:pPr>
        <w:pStyle w:val="Quote"/>
        <w:ind w:left="567"/>
      </w:pPr>
      <w:r>
        <w:t>Губитак, пропаст или оштећење ствари другог лица ствара обавезу држаоца ствари да власнику накнади штету у новцу у висини њене тржишне противвредности.</w:t>
      </w:r>
    </w:p>
    <w:p>
      <w:pPr>
        <w:pStyle w:val="Quote"/>
        <w:ind w:left="567"/>
      </w:pPr>
      <w:r>
        <w:t>Тужилац је у овој парници истакао тужбени захтев за исплату новчане противвредности стакла у његовој својини, које се на дан раскида уговора странака 01.07.1999. године затекло у магацинском простору тужених а након тога је отуђено.</w:t>
      </w:r>
    </w:p>
    <w:p>
      <w:pPr>
        <w:pStyle w:val="Quote"/>
        <w:ind w:left="567"/>
      </w:pPr>
      <w:r>
        <w:t>[О терету доказивања] ...чињенице утврђене из садржине списа вођених кривичних поступака... не поткрепљују било какво закључивање о активној радњи тужених у неовлашћеном отуђењу тужиочевог стакла.</w:t>
      </w:r>
    </w:p>
    <w:p>
      <w:pPr>
        <w:pStyle w:val="Heading3"/>
      </w:pPr>
      <w:r>
        <w:rPr>
          <w:color w:val="000000"/>
        </w:rPr>
        <w:t>Зашто је релевантна за наш предмет</w:t>
      </w:r>
    </w:p>
    <w:p>
      <w:pPr>
        <w:jc w:val="both"/>
      </w:pPr>
      <w:r>
        <w:t xml:space="preserve">Одлука потврђује </w:t>
      </w:r>
      <w:r>
        <w:rPr>
          <w:b/>
        </w:rPr>
        <w:t>опште правило да губитак, пропаст или оштећење туђе ствари која се налази у поседу другог лица ствара обавезу тог држаоца да власнику накнади штету</w:t>
      </w:r>
      <w:r>
        <w:t xml:space="preserve"> у висини тржишне противвредности ствари. То је директно применљиво на наш случај: делови брода „Бечеј I" отуђени су и оштећени док се брод налазио у поседу штетника BEGEJ SHIPYARDS GROUP DOO ZRENJANIN.</w:t>
      </w:r>
    </w:p>
    <w:p>
      <w:pPr>
        <w:pStyle w:val="Heading3"/>
      </w:pPr>
      <w:r>
        <w:rPr>
          <w:color w:val="000000"/>
        </w:rPr>
        <w:t>Опрез при коришћењу (домашај одлуке)</w:t>
      </w:r>
    </w:p>
    <w:p>
      <w:pPr>
        <w:jc w:val="both"/>
      </w:pPr>
      <w:r>
        <w:t xml:space="preserve">У том предмету суд је однос странака квалификовао као </w:t>
      </w:r>
      <w:r>
        <w:rPr>
          <w:b/>
        </w:rPr>
        <w:t>закуп магацинског простора</w:t>
      </w:r>
      <w:r>
        <w:t xml:space="preserve"> (а не уставу/ускладиштење), па је закључио да закуподавци по законској претпоставци не сносе одговорност за мањак робе ако се не докаже њихово активно учешће у отуђењу. </w:t>
      </w:r>
      <w:r>
        <w:rPr>
          <w:b/>
        </w:rPr>
        <w:t>Због тога је у нашем предмету пресудно</w:t>
      </w:r>
      <w:r>
        <w:t xml:space="preserve"> да се однос квалификује као </w:t>
      </w:r>
      <w:r>
        <w:rPr>
          <w:b/>
        </w:rPr>
        <w:t>уговор о делу (ремонт) са обавезом чувања брода</w:t>
      </w:r>
      <w:r>
        <w:t>, а не као пуки закуп простора — чиме се на штетника пребацује појачана пажња доброг стручњака (чл. 18. ст. 2. ЗОО) и претпостављена кривица (чл. 154. ст. 1, чл. 262. ЗОО).</w:t>
      </w:r>
    </w:p>
    <w:p>
      <w:pPr>
        <w:jc w:val="both"/>
      </w:pPr>
      <w:r/>
      <w:r>
        <w:rPr>
          <w:i/>
        </w:rPr>
        <w:t>Верификација: садржину одлуке лично отворити на наведеном URL-у и упоредити цитате пре уношења у поднесак.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