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t>ИЗЈАШЊЕЊЕ ПУНОМОЋНИКА ОШТЕЋЕНОГ НА ОКОЛНОСТИ ВРЕДНОСТИ ОТУЂЕНИХ СТВАРИ — ТАКСАТИВНИ ПОПИС ОТУЂЕНИХ И ОШТЕЋЕНИХ СТВАРИ — СА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[</w:t>
      </w:r>
      <w:r>
        <w:rPr>
          <w:i/>
        </w:rPr>
        <w:t>уписати: број и датум уговора о ремонту / радног налога, односно основ предаје</w:t>
      </w:r>
      <w:r>
        <w:t>], дана [____________] године. Брод се налазио на локалитету Перлез, код преводнице Перлез.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t>II — ИЗЈАШЊЕЊЕ НА ПОСТАВЉЕНА ПИТАЊА</w:t>
      </w:r>
    </w:p>
    <w:p>
      <w:pPr>
        <w:pStyle w:val="Heading3"/>
      </w:pPr>
      <w: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</w:t>
      </w:r>
    </w:p>
    <w:p>
      <w:pPr>
        <w:jc w:val="both"/>
      </w:pPr>
      <w:r>
        <w:t xml:space="preserve">Лице које обавља посао (извођач радова — посленик) дужно је да по завршеном послу обавести налогодавца (наручиоца) и да му преда ствар у посед ради провере да ли је посао обављен према договореном. Сходно томе, штетник 1. реда је био дужан да брод </w:t>
      </w:r>
      <w:r>
        <w:rPr>
          <w:b/>
        </w:rPr>
        <w:t>преда у посед оштећеном</w:t>
      </w:r>
      <w:r>
        <w:t xml:space="preserve"> (чл. 613. Закона о облигационим односима), а све </w:t>
      </w:r>
      <w:r>
        <w:rPr>
          <w:b/>
        </w:rPr>
        <w:t>док се брод налазио у поседу штетника, до уредне примопредаје, на штетнику је била одговорност за све што се са бродом догоди</w:t>
      </w:r>
      <w:r>
        <w:t>. Управо је штетник, заказивањем Записника о преузимању за 11.09.2025. године, и сам признао да сматра да је посао завршен и брод спреман за предају. Примопредаја, међутим, није извршена из разлога наведених у тачки I.4. овог изјашњења, а пре ње је утврђено да су витални делови брода отуђени, односно да је брод оштећен — док је био искључиво у поседу и под надзором штетника.</w:t>
      </w:r>
    </w:p>
    <w:p>
      <w:pPr>
        <w:jc w:val="both"/>
      </w:pPr>
      <w:r>
        <w:t>Детаљна правна анализа одговорности штетника, са одредбама прописа и судском праксом, дата је у тачки IV-А овог изјашњења и у прилозима (Правна анализа и издвојене одлуке судске праксе).</w:t>
      </w:r>
    </w:p>
    <w:p>
      <w:pPr>
        <w:pStyle w:val="Heading2"/>
      </w:pPr>
      <w: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t>Б) Оштећене, односно уништене ствари</w:t>
      </w:r>
    </w:p>
    <w:p>
      <w:pPr>
        <w:ind w:left="425"/>
      </w:pPr>
      <w:r>
        <w:t xml:space="preserve">1. бродска кабина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2. врата кабине (оштећена)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3. електрична инсталација брода (исечена)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4. бродске кабине — стамбени простор (вандализован)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5. машински простор (оштећен)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6. један погонски агрегат — мотор (оштећен скидањем главе мотора) — </w:t>
      </w:r>
      <w:r>
        <w:rPr>
          <w:b/>
        </w:rPr>
        <w:t>тотална штета</w:t>
      </w:r>
      <w:r>
        <w:t>;</w:t>
      </w:r>
    </w:p>
    <w:p>
      <w:pPr>
        <w:ind w:left="425"/>
      </w:pPr>
      <w:r>
        <w:t xml:space="preserve">7. хидраулична инсталација у машинском простору (исечена) — </w:t>
      </w:r>
      <w:r>
        <w:rPr>
          <w:b/>
        </w:rPr>
        <w:t>тотална штета</w:t>
      </w:r>
      <w:r>
        <w:t>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t>IV-А — ОСНОВ ОДГОВОРНОСТИ ШТЕТНИКА</w:t>
      </w:r>
    </w:p>
    <w:p>
      <w:pPr>
        <w:jc w:val="both"/>
      </w:pPr>
      <w:r>
        <w:t xml:space="preserve">Однос оштећеног (наручиоца) и штетника 1. реда заснован је као </w:t>
      </w:r>
      <w:r>
        <w:rPr>
          <w:b/>
        </w:rPr>
        <w:t>уговор о делу</w:t>
      </w:r>
      <w:r>
        <w:t xml:space="preserve"> (чл. 600. и даље ЗОО) ради ремонта брода, при чему је брод предат штетнику у државину. Из тог односа за штетника произлази </w:t>
      </w:r>
      <w:r>
        <w:rPr>
          <w:b/>
        </w:rPr>
        <w:t>обавеза чувања поверене ствари</w:t>
      </w:r>
      <w:r>
        <w:t xml:space="preserve"> са пажњом </w:t>
      </w:r>
      <w:r>
        <w:rPr>
          <w:b/>
        </w:rPr>
        <w:t>доброг стручњака</w:t>
      </w:r>
      <w:r>
        <w:t xml:space="preserve">, будући да је реч о професионалном бродоградилишту (чл. 18. ст. 2. ЗОО), као и обавеза да брод по завршетку посла </w:t>
      </w:r>
      <w:r>
        <w:rPr>
          <w:b/>
        </w:rPr>
        <w:t>преда у посед</w:t>
      </w:r>
      <w:r>
        <w:t xml:space="preserve"> оштећеном (чл. 613. ЗОО).</w:t>
      </w:r>
    </w:p>
    <w:p>
      <w:pPr>
        <w:jc w:val="both"/>
      </w:pPr>
      <w:r>
        <w:t xml:space="preserve">Како је до отуђења и оштећења делова брода дошло </w:t>
      </w:r>
      <w:r>
        <w:rPr>
          <w:b/>
        </w:rPr>
        <w:t>док је брод био у поседу штетника, пре извршене примопредаје</w:t>
      </w:r>
      <w:r>
        <w:t xml:space="preserve">, штетник за насталу штету одговара по чл. 154. ст. 1, чл. 262. и чл. 18. ст. 2. ЗОО, при чему је </w:t>
      </w:r>
      <w:r>
        <w:rPr>
          <w:b/>
        </w:rPr>
        <w:t>терет доказивања</w:t>
      </w:r>
      <w:r>
        <w:t xml:space="preserve"> да штета није настала његовом кривицом (виша сила, случај) </w:t>
      </w:r>
      <w:r>
        <w:rPr>
          <w:b/>
        </w:rPr>
        <w:t>на штетнику</w:t>
      </w:r>
      <w:r>
        <w:t xml:space="preserve"> (чл. 263, чл. 262. ст. 5. ЗОО). Подела ризика случајне пропасти из чл. 626. ЗОО овде се не примењује, јер се не ради о случајној пропасти, већ о крађи и вандализму услед пропуста штетника у чувању брода.</w:t>
      </w:r>
    </w:p>
    <w:p>
      <w:pPr>
        <w:jc w:val="both"/>
      </w:pPr>
      <w:r>
        <w:t xml:space="preserve">Наведено потврђује и судска пракса, нарочито правни став Врховног касационог суда из одлуке </w:t>
      </w:r>
      <w:r>
        <w:rPr>
          <w:b/>
        </w:rPr>
        <w:t>Рев1 7/2017 од 12.10.2017. године</w:t>
      </w:r>
      <w:r>
        <w:t xml:space="preserve">: </w:t>
      </w:r>
      <w:r>
        <w:rPr>
          <w:i/>
        </w:rPr>
        <w:t>„Губитак, пропаст или оштећење ствари другог лица ствара обавезу држаоца ствари да власнику накнади штету у новцу у висини њене тржишне противвредности."</w:t>
      </w:r>
      <w:r>
        <w:t xml:space="preserve"> (детаљно у прилогу — Правна анализа и издвојене одлуке).</w:t>
      </w:r>
    </w:p>
    <w:p>
      <w:pPr>
        <w:pStyle w:val="Heading2"/>
      </w:pPr>
      <w:r>
        <w:t>IV — ОДШТЕТНИ ЗАХТЕВ</w:t>
      </w:r>
    </w:p>
    <w:p>
      <w:pPr>
        <w:jc w:val="both"/>
      </w:pPr>
      <w:r>
        <w:t xml:space="preserve">Одштетни захтев истакнут дописом пуномоћника оштећеног од 24.09.2025. године, у износу од 1.500.000,00 евра, овим се </w:t>
      </w:r>
      <w:r>
        <w:rPr>
          <w:b/>
        </w:rPr>
        <w:t>прецизира и увећава</w:t>
      </w:r>
      <w:r>
        <w:t xml:space="preserve">, тако да се на име штете проузроковане извршењем кривичног дела, сагласно чл. 252–256. Законика о кривичном поступку, а у вези са чл. 154, 155, 185, 186, 189. и 395. Закона о облигационим односима, према штетницима 1. и 2. реда истиче одштетни захтев у укупном износу од </w:t>
      </w:r>
      <w:r>
        <w:rPr>
          <w:b/>
        </w:rPr>
        <w:t>1.700.000,00 евра (словима: милион и седамсто хиљада евра)</w:t>
      </w:r>
      <w:r>
        <w:t>, све у динарској противвредности по продајном курсу НБС на дан исплате, са законском затезном каматом од дана извршења кривичног дела до исплате.</w:t>
      </w:r>
    </w:p>
    <w:p>
      <w:pPr>
        <w:jc w:val="both"/>
      </w:pPr>
      <w:r/>
      <w:r>
        <w:rPr>
          <w:b/>
        </w:rPr>
        <w:t>Тотална штета на броду.</w:t>
      </w:r>
      <w:r>
        <w:t xml:space="preserve"> Отуђењем средства порива и погона брода (оба пропулзера „Schottel" са целокупним системом — два Z погона), агрегата, оштећењем једног погонског агрегата (мотора), исецањем електричне и хидрауличне инсталације и девастирањем кабине и стамбеног простора, брод је изгубио </w:t>
      </w:r>
      <w:r>
        <w:rPr>
          <w:b/>
        </w:rPr>
        <w:t>сва битна својства и функције</w:t>
      </w:r>
      <w:r>
        <w:t xml:space="preserve"> због којих би се могао назвати бродом. Брод више није способан ни за пловидбу, ни за погон, ни за привредно искоришћавање — он данас представља </w:t>
      </w:r>
      <w:r>
        <w:rPr>
          <w:b/>
        </w:rPr>
        <w:t>пуку хрпу метала</w:t>
      </w:r>
      <w:r>
        <w:t xml:space="preserve">. Стога је несумњиво да је на броду наступила </w:t>
      </w:r>
      <w:r>
        <w:rPr>
          <w:b/>
        </w:rPr>
        <w:t>ТОТАЛНА ШТЕТА</w:t>
      </w:r>
      <w:r>
        <w:t xml:space="preserve">. Вредност функционалног брода ове врсте, који поседује важећу дозволу Лучке капетаније за пловидбу, износи </w:t>
      </w:r>
      <w:r>
        <w:rPr>
          <w:b/>
        </w:rPr>
        <w:t>700.000,00 евра</w:t>
      </w:r>
      <w:r>
        <w:t>, и тај износ представља обичну (стварну) штету насталу тоталном штетом на броду.</w:t>
      </w:r>
    </w:p>
    <w:p>
      <w:pPr>
        <w:jc w:val="both"/>
      </w:pPr>
      <w:r>
        <w:t>По видовима штете, изјашњавамо се: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тотална штета на броду; вредност функционалног брода ове врсте са важећом дозволом Лучке капетаније за пловидбу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700.000,00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брода, рачунајући и даљи изостанак експлоатације — која се увећава за приближно 2.000,00 евра за сваки даљи дан неупотребљивости брода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1.000.000,00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1.700.000,00 евра</w:t>
            </w:r>
            <w:r>
              <w:t xml:space="preserve"> (словима: милион и седамсто хиљада евра)</w:t>
            </w:r>
          </w:p>
        </w:tc>
      </w:tr>
    </w:tbl>
    <w:p>
      <w:pPr>
        <w:jc w:val="both"/>
      </w:pPr>
      <w:r>
        <w:t xml:space="preserve">Изгубљена добит обрачуната је полазећи од просечне дневне зараде (возарине) брода наведене носивости, која износи приближно </w:t>
      </w:r>
      <w:r>
        <w:rPr>
          <w:b/>
        </w:rPr>
        <w:t>2.000,00 евра дневно</w:t>
      </w:r>
      <w:r>
        <w:t xml:space="preserve">, помножене бројем дана у којима је брод ван експлоатације, при чему се иста увећава за сваки даљи дан неупотребљивости брода </w:t>
      </w:r>
      <w:r>
        <w:rPr>
          <w:b/>
        </w:rPr>
        <w:t>кривицом BEGEJ SHIPYARDS GROUP DOO ZRENJANIN</w:t>
      </w:r>
      <w:r>
        <w:t>.</w:t>
      </w:r>
    </w:p>
    <w:p>
      <w:pPr>
        <w:jc w:val="both"/>
      </w:pPr>
      <w:r/>
      <w:r>
        <w:rPr>
          <w:b/>
        </w:rPr>
        <w:t>Напомена:</w:t>
      </w:r>
      <w:r>
        <w:t xml:space="preserve"> наведени износи биће додатно поткрепљени вештачењем одговарајуће струке, односно целокупном дефектажом брода, како је констатовано у извештају судског вештака. Оштећени задржава право да одштетни захтев прецизира, односно измени по извршеном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одштетни захтев у списе предмета и о њему обавести надлежно јавно тужилаштво;</w:t>
      </w:r>
    </w:p>
    <w:p>
      <w:pPr>
        <w:ind w:left="425"/>
      </w:pPr>
      <w:r>
        <w:t>2.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3. о предузетим мерама обавести оштећеног преко пуномоћника.</w:t>
      </w:r>
    </w:p>
    <w:p>
      <w:pPr>
        <w:pStyle w:val="Heading2"/>
      </w:pPr>
      <w: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Правна анализа одговорности штетника (са одредбама прописа и судском праксом);</w:t>
      </w:r>
    </w:p>
    <w:p>
      <w:pPr>
        <w:ind w:left="425"/>
      </w:pPr>
      <w:r>
        <w:t>6. Издвојене одлуке судске праксе (Рев1 7/2017; Рев 12733/2024; Прев 154/2023);</w:t>
      </w:r>
    </w:p>
    <w:p>
      <w:pPr>
        <w:ind w:left="425"/>
      </w:pPr>
      <w:r>
        <w:t>7.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right"/>
      </w:pPr>
      <w:r/>
      <w:r>
        <w:rPr>
          <w:b/>
        </w:rPr>
        <w:t>адв. Милан Мишић</w:t>
      </w:r>
      <w:r/>
    </w:p>
    <w:p>
      <w:pPr>
        <w:jc w:val="right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