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 Примопредаја није извршена из разлога наведених у тачки I.4. овог изјашњења.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>1. бродска кабина (оштећена);</w:t>
      </w:r>
    </w:p>
    <w:p>
      <w:pPr>
        <w:ind w:left="425"/>
      </w:pPr>
      <w:r>
        <w:t>2. врата кабине (оштећена);</w:t>
      </w:r>
    </w:p>
    <w:p>
      <w:pPr>
        <w:ind w:left="425"/>
      </w:pPr>
      <w:r>
        <w:t>3. електрична инсталација брода (исечена);</w:t>
      </w:r>
    </w:p>
    <w:p>
      <w:pPr>
        <w:ind w:left="425"/>
      </w:pPr>
      <w:r>
        <w:t>4. бродске кабине — стамбени простор (вандализован);</w:t>
      </w:r>
    </w:p>
    <w:p>
      <w:pPr>
        <w:ind w:left="425"/>
      </w:pPr>
      <w:r>
        <w:t>5. машински простор (оштећен);</w:t>
      </w:r>
    </w:p>
    <w:p>
      <w:pPr>
        <w:ind w:left="425"/>
      </w:pPr>
      <w:r>
        <w:t>6. један погонски агрегат — мотор (оштећен скидањем главе мотора);</w:t>
      </w:r>
    </w:p>
    <w:p>
      <w:pPr>
        <w:ind w:left="425"/>
      </w:pPr>
      <w:r>
        <w:t>7. хидраулична инсталација у машинском простору (исечена).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имајући у виду да се изгубљена добит континуирано увећава за сваки даљи дан неупотребљивости брода,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1.600.000,00 евра (словима: милион и шесто хиљада евра)</w:t>
      </w:r>
      <w:r>
        <w:t xml:space="preserve">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вредност отуђених ствари из тачке III/А и трошкови поправке оштећених ствари из тачке III/Б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1.600.000,00 евра</w:t>
            </w:r>
            <w:r>
              <w:t xml:space="preserve"> (словима: милион и шесто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>, помножене бројем дана у којима је брод ван експлоатације, при чему се иста увећава за сваки даљи дан неупотребљивости брода [</w:t>
      </w:r>
      <w:r>
        <w:rPr>
          <w:i/>
        </w:rPr>
        <w:t>документација о возаринама/уговорима о превозу биће накнадно достављена</w:t>
      </w:r>
      <w:r>
        <w:t>].</w:t>
      </w:r>
    </w:p>
    <w:p>
      <w:pPr>
        <w:jc w:val="both"/>
      </w:pPr>
      <w:r/>
      <w:r>
        <w:rPr>
          <w:b/>
        </w:rPr>
        <w:t>Напомена о вредности појединачних ствари:</w:t>
      </w:r>
      <w:r>
        <w:t xml:space="preserve"> вредност сваке појединачне отуђене, односно оштећене ствари из тачке III биће прецизно утврђена целокупном дефектажом брода од стране сервисера машинске и електро струке и вештачењем одговарајуће струке, како је констатовано у извештају судског вештака. Оштећени задржава право да одштетни захтев прецизира, односно измени по извршеној дефектажи и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