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rPr>
          <w:color w:val="000000"/>
        </w:rP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rPr>
          <w:color w:val="000000"/>
        </w:rP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rPr>
          <w:color w:val="000000"/>
        </w:rPr>
        <w:t>II — ИЗЈАШЊЕЊЕ НА ПОСТАВЉЕНА ПИТАЊА</w:t>
      </w:r>
    </w:p>
    <w:p>
      <w:pPr>
        <w:pStyle w:val="Heading3"/>
      </w:pPr>
      <w:r>
        <w:rPr>
          <w:color w:val="000000"/>
        </w:rP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rPr>
          <w:color w:val="000000"/>
        </w:rP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rPr>
          <w:color w:val="000000"/>
        </w:rP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rPr>
          <w:color w:val="000000"/>
        </w:rP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</w:t>
      </w:r>
    </w:p>
    <w:p>
      <w:pPr>
        <w:jc w:val="both"/>
      </w:pPr>
      <w:r>
        <w:t xml:space="preserve">Лице које обавља посао (извођач радова — посленик) дужно је да по завршеном послу обавести налогодавца (наручиоца) и да му преда ствар у посед ради провере да ли је посао обављен према договореном. Сходно томе, штетник 1. реда је био дужан да брод </w:t>
      </w:r>
      <w:r>
        <w:rPr>
          <w:b/>
        </w:rPr>
        <w:t>преда у посед оштећеном</w:t>
      </w:r>
      <w:r>
        <w:t xml:space="preserve"> (чл. 613. Закона о облигационим односима), а све </w:t>
      </w:r>
      <w:r>
        <w:rPr>
          <w:b/>
        </w:rPr>
        <w:t>док се брод налазио у поседу штетника, до уредне примопредаје, на штетнику је била одговорност за све што се са бродом догоди</w:t>
      </w:r>
      <w:r>
        <w:t>. Управо је штетник, заказивањем Записника о преузимању за 11.09.2025. године, и сам признао да сматра да је посао завршен и брод спреман за предају. Примопредаја, међутим, није извршена из разлога наведених у тачки I.4. овог изјашњења, а пре ње је утврђено да су витални делови брода отуђени, односно да је брод оштећен — док је био искључиво у поседу и под надзором штетника.</w:t>
      </w:r>
    </w:p>
    <w:p>
      <w:pPr>
        <w:jc w:val="both"/>
      </w:pPr>
      <w:r>
        <w:t>Детаљна правна анализа одговорности штетника, са одредбама прописа и судском праксом, дата је у прилозима (Правна анализа и издвојене одлуке судске праксе).</w:t>
      </w:r>
    </w:p>
    <w:p>
      <w:pPr>
        <w:pStyle w:val="Heading2"/>
      </w:pPr>
      <w:r>
        <w:rPr>
          <w:color w:val="000000"/>
        </w:rP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rPr>
          <w:color w:val="000000"/>
        </w:rP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rPr>
          <w:color w:val="000000"/>
        </w:rPr>
        <w:t>Б) Оштећене, односно уништене ствари</w:t>
      </w:r>
    </w:p>
    <w:p>
      <w:pPr>
        <w:ind w:left="425"/>
      </w:pPr>
      <w:r>
        <w:t xml:space="preserve">1. бродска кабина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2. врата кабине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3. електрична инсталација брода (исечена)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4. бродске кабине — стамбени простор (вандализован)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5. машински простор (оштећен)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6. један погонски агрегат — мотор (оштећен скидањем главе мотора)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7. хидраулична инсталација у машинском простору (исечена) — </w:t>
      </w:r>
      <w:r>
        <w:rPr>
          <w:b/>
        </w:rPr>
        <w:t>тотална штета</w:t>
      </w:r>
      <w:r>
        <w:t>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rPr>
          <w:color w:val="000000"/>
        </w:rPr>
        <w:t>IV —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године, у износу од 1.500.000,00 евра, овим се </w:t>
      </w:r>
      <w:r>
        <w:rPr>
          <w:b/>
        </w:rPr>
        <w:t>прецизира и увећава</w:t>
      </w:r>
      <w:r>
        <w:t xml:space="preserve">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 у укупном износу од </w:t>
      </w:r>
      <w:r>
        <w:rPr>
          <w:b/>
        </w:rPr>
        <w:t>1.700.000,00 евра (словима: милион и седамсто хиљада евра)</w:t>
      </w:r>
      <w:r>
        <w:t>, све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/>
      <w:r>
        <w:rPr>
          <w:b/>
        </w:rPr>
        <w:t>Тотална штета на броду.</w:t>
      </w:r>
      <w:r>
        <w:t xml:space="preserve"> Отуђењем средства порива и погона брода (оба пропулзера „Schottel" са целокупним системом — два Z погона), агрегата, оштећењем једног погонског агрегата (мотора), исецањем електричне и хидрауличне инсталације и девастирањем кабине и стамбеног простора, брод је изгубио </w:t>
      </w:r>
      <w:r>
        <w:rPr>
          <w:b/>
        </w:rPr>
        <w:t>сва битна својства и функције</w:t>
      </w:r>
      <w:r>
        <w:t xml:space="preserve"> због којих би се могао назвати бродом. Брод више није способан ни за пловидбу, ни за погон, ни за привредно искоришћавање — он данас представља </w:t>
      </w:r>
      <w:r>
        <w:rPr>
          <w:b/>
        </w:rPr>
        <w:t>пуку хрпу метала</w:t>
      </w:r>
      <w:r>
        <w:t xml:space="preserve">. Стога је несумњиво да је на броду наступила </w:t>
      </w:r>
      <w:r>
        <w:rPr>
          <w:b/>
        </w:rPr>
        <w:t>ТОТАЛНА ШТЕТА</w:t>
      </w:r>
      <w:r>
        <w:t xml:space="preserve">. Вредност функционалног брода ове врсте, који поседује важећу дозволу Лучке капетаније за пловидбу, износи </w:t>
      </w:r>
      <w:r>
        <w:rPr>
          <w:b/>
        </w:rPr>
        <w:t>700.000,00 евра</w:t>
      </w:r>
      <w:r>
        <w:t>, и тај износ представља обичну (стварну) штету насталу тоталном штетом на броду.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тотална штета на броду; вредност функционалног брода ове врсте са важећом дозволом Лучке капетаније за пловидбу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700.000,00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— која се увећава за приближно 2.000,00 евра за сваки даљи дан неупотребљивости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1.000.000,00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1.700.000,00 евра</w:t>
            </w:r>
            <w:r>
              <w:t xml:space="preserve"> (словима: милион и седамсто хиљада евра)</w:t>
            </w:r>
          </w:p>
        </w:tc>
      </w:tr>
    </w:tbl>
    <w:p>
      <w:pPr>
        <w:jc w:val="both"/>
      </w:pPr>
      <w:r>
        <w:t xml:space="preserve">Изгубљена добит обрачуната је полазећи од просечне дневне зараде (возарине) брода наведене носивости, која износи приближно </w:t>
      </w:r>
      <w:r>
        <w:rPr>
          <w:b/>
        </w:rPr>
        <w:t>2.000,00 евра дневно</w:t>
      </w:r>
      <w:r>
        <w:t xml:space="preserve">, помножене бројем дана у којима је брод ван експлоатације, при чему се иста увећава за сваки даљи дан неупотребљивости брода </w:t>
      </w:r>
      <w:r>
        <w:rPr>
          <w:b/>
        </w:rPr>
        <w:t>кривицом BEGEJ SHIPYARDS GROUP DOO ZRENJANIN</w:t>
      </w:r>
      <w:r>
        <w:t>.</w:t>
      </w:r>
    </w:p>
    <w:p>
      <w:pPr>
        <w:jc w:val="both"/>
      </w:pPr>
      <w:r/>
      <w:r>
        <w:rPr>
          <w:b/>
        </w:rPr>
        <w:t>Напомена:</w:t>
      </w:r>
      <w:r>
        <w:t xml:space="preserve"> наведени износи биће додатно поткрепљени вештачењем одговарајуће струке, односно целокупном дефектажом брода, како је констатовано у извештају судског вештака. Оштећени задржава право да одштетни захтев прецизира, односно измени по извршеном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rPr>
          <w:color w:val="000000"/>
        </w:rP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3. о предузетим мерама обавести оштећеног преко пуномоћника.</w:t>
      </w:r>
    </w:p>
    <w:p>
      <w:pPr>
        <w:pStyle w:val="Heading2"/>
      </w:pPr>
      <w:r>
        <w:rPr>
          <w:color w:val="000000"/>
        </w:rP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Правна анализа одговорности штетника (са одредбама прописа и судском праксом);</w:t>
      </w:r>
    </w:p>
    <w:p>
      <w:pPr>
        <w:ind w:left="425"/>
      </w:pPr>
      <w:r>
        <w:t>6. Издвојене одлуке судске праксе (Рев1 7/2017; Рев 12733/2024; Прев 154/2023);</w:t>
      </w:r>
    </w:p>
    <w:p>
      <w:pPr>
        <w:ind w:left="425"/>
      </w:pPr>
      <w:r>
        <w:t>7.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right"/>
      </w:pPr>
      <w:r/>
      <w:r>
        <w:rPr>
          <w:b/>
        </w:rPr>
        <w:t>адв. Милан Мишић</w:t>
      </w:r>
      <w:r/>
    </w:p>
    <w:p>
      <w:pPr>
        <w:jc w:val="right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