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СУДСКА ПРАКСА — ДОКУМЕНТ 3</w:t>
      </w:r>
    </w:p>
    <w:p>
      <w:pPr>
        <w:pStyle w:val="Heading2"/>
      </w:pPr>
      <w:r>
        <w:rPr>
          <w:color w:val="000000"/>
        </w:rPr>
        <w:t>Врховни суд, Прев 154/2023 од 14.12.2023. године</w:t>
      </w:r>
    </w:p>
    <w:p>
      <w:pPr>
        <w:jc w:val="both"/>
      </w:pPr>
      <w:r/>
      <w:r>
        <w:rPr>
          <w:b/>
        </w:rPr>
        <w:t>Област:</w:t>
      </w:r>
      <w:r>
        <w:t xml:space="preserve"> уговор о делу — квалификација односа и права наручиоца</w:t>
      </w:r>
    </w:p>
    <w:p>
      <w:pPr>
        <w:jc w:val="both"/>
      </w:pPr>
      <w:r/>
      <w:r>
        <w:rPr>
          <w:b/>
        </w:rPr>
        <w:t>Извор (званични портал):</w:t>
      </w:r>
      <w:r>
        <w:t xml:space="preserve"> https://vrh.sud.rs/sr-lat/prev-1542023-31224-ugovor-o-delu</w:t>
      </w:r>
    </w:p>
    <w:p>
      <w:pPr>
        <w:pStyle w:val="Heading3"/>
      </w:pPr>
      <w:r>
        <w:rPr>
          <w:color w:val="000000"/>
        </w:rPr>
        <w:t>Изрека (дисозитив) — доословно</w:t>
      </w:r>
    </w:p>
    <w:p>
      <w:pPr>
        <w:pStyle w:val="Quote"/>
        <w:ind w:left="567"/>
      </w:pPr>
      <w:r>
        <w:t>ОДБИЈА СЕ ревизија тужиоца изјављена против пресуде Привредног апелационог суда 6Пж 4923/22 од 12.07.2022. године, као неоснована.</w:t>
      </w:r>
    </w:p>
    <w:p>
      <w:pPr>
        <w:pStyle w:val="Heading3"/>
      </w:pPr>
      <w:r>
        <w:rPr>
          <w:color w:val="000000"/>
        </w:rPr>
        <w:t>Кључно из образложења — доословно</w:t>
      </w:r>
    </w:p>
    <w:p>
      <w:pPr>
        <w:pStyle w:val="Quote"/>
        <w:ind w:left="567"/>
      </w:pPr>
      <w:r>
        <w:t>Уговор кога су парничне странке закључиле је по својој садржини и правној природи уговор о делу, којим се тужилац као посленик обавезао да за туженог као наручиоца обави конкретан посао, а тужени се обавезао да тужиоцу за то плати накнаду.</w:t>
      </w:r>
    </w:p>
    <w:p>
      <w:pPr>
        <w:pStyle w:val="Quote"/>
        <w:ind w:left="567"/>
      </w:pPr>
      <w:r>
        <w:t>...тужилац се није користио ни правом на благовремен раскид који би му обезбедио право на накнаду штете због неиспуњења обавезе на страни туженог.</w:t>
      </w:r>
    </w:p>
    <w:p>
      <w:pPr>
        <w:pStyle w:val="Heading3"/>
      </w:pPr>
      <w:r>
        <w:rPr>
          <w:color w:val="000000"/>
        </w:rPr>
        <w:t>Зашто је релевантна за наш предмет</w:t>
      </w:r>
    </w:p>
    <w:p>
      <w:pPr>
        <w:jc w:val="both"/>
      </w:pPr>
      <w:r>
        <w:t xml:space="preserve">Одлука илуструје </w:t>
      </w:r>
      <w:r>
        <w:rPr>
          <w:b/>
        </w:rPr>
        <w:t>како судови квалификују однос као уговор о делу</w:t>
      </w:r>
      <w:r>
        <w:t xml:space="preserve"> (посленик обавља конкретан посао уз накнаду) и </w:t>
      </w:r>
      <w:r>
        <w:rPr>
          <w:b/>
        </w:rPr>
        <w:t>механику права наручиоца</w:t>
      </w:r>
      <w:r>
        <w:t>. Корисна је за поткрепљење наше квалификације односа са штетником као уговора о делу (ремонт брода).</w:t>
      </w:r>
    </w:p>
    <w:p>
      <w:pPr>
        <w:pStyle w:val="Heading3"/>
      </w:pPr>
      <w:r>
        <w:rPr>
          <w:color w:val="000000"/>
        </w:rPr>
        <w:t>Опрез при коришћењу (домашај одлуке)</w:t>
      </w:r>
    </w:p>
    <w:p>
      <w:pPr>
        <w:jc w:val="both"/>
      </w:pPr>
      <w:r>
        <w:t xml:space="preserve">Спор се тиче реализације уговора о делу и права на накнаду штете због неиспуњења, </w:t>
      </w:r>
      <w:r>
        <w:rPr>
          <w:b/>
        </w:rPr>
        <w:t>а не нестанка/оштећења поверене ствари</w:t>
      </w:r>
      <w:r>
        <w:t xml:space="preserve">. Наводи се као </w:t>
      </w:r>
      <w:r>
        <w:rPr>
          <w:b/>
        </w:rPr>
        <w:t>посредна потпора</w:t>
      </w:r>
      <w:r>
        <w:t xml:space="preserve"> квалификацији односа, не као директан преседан.</w:t>
      </w:r>
    </w:p>
    <w:p>
      <w:pPr>
        <w:jc w:val="both"/>
      </w:pPr>
      <w:r/>
      <w:r>
        <w:rPr>
          <w:i/>
        </w:rPr>
        <w:t>Верификација: садржину одлуке лично отворити на наведеном URL-у пре уношења у поднесак.</w:t>
      </w:r>
      <w:r/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