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高效智能封面机自动化生产线关键技术及装备研发</w:t>
      </w:r>
    </w:p>
    <w:p>
      <w:pPr>
        <w:pStyle w:val="Heading1"/>
        <w:jc w:val="center"/>
      </w:pPr>
      <w:r>
        <w:t>中期项目执行情况报告</w:t>
      </w:r>
    </w:p>
    <w:p/>
    <w:p>
      <w:pPr>
        <w:pStyle w:val="Heading2"/>
      </w:pPr>
      <w:r>
        <w:t>一、项目概况</w:t>
      </w:r>
    </w:p>
    <w:p>
      <w:r>
        <w:t>项目名称：高效智能封面机自动化生产线关键技术及装备研发</w:t>
      </w:r>
    </w:p>
    <w:p>
      <w:r>
        <w:t>项目周期：[具体周期]</w:t>
      </w:r>
    </w:p>
    <w:p>
      <w:r>
        <w:t>执行阶段：中期验收</w:t>
      </w:r>
    </w:p>
    <w:p>
      <w:pPr>
        <w:pStyle w:val="Heading2"/>
      </w:pPr>
      <w:r>
        <w:t>二、经费使用情况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t>科目</w:t>
            </w:r>
          </w:p>
        </w:tc>
        <w:tc>
          <w:tcPr>
            <w:tcW w:type="dxa" w:w="1814"/>
          </w:tcPr>
          <w:p>
            <w:r>
              <w:t>预算金额（万元）</w:t>
            </w:r>
          </w:p>
        </w:tc>
        <w:tc>
          <w:tcPr>
            <w:tcW w:type="dxa" w:w="1814"/>
          </w:tcPr>
          <w:p>
            <w:r>
              <w:t>已使用金额（万元）</w:t>
            </w:r>
          </w:p>
        </w:tc>
        <w:tc>
          <w:tcPr>
            <w:tcW w:type="dxa" w:w="1814"/>
          </w:tcPr>
          <w:p>
            <w:r>
              <w:t>使用比例</w:t>
            </w:r>
          </w:p>
        </w:tc>
        <w:tc>
          <w:tcPr>
            <w:tcW w:type="dxa" w:w="1814"/>
          </w:tcPr>
          <w:p>
            <w:r>
              <w:t>主要用途</w:t>
            </w:r>
          </w:p>
        </w:tc>
      </w:tr>
      <w:tr>
        <w:tc>
          <w:tcPr>
            <w:tcW w:type="dxa" w:w="1814"/>
            <w:vAlign w:val="center"/>
          </w:tcPr>
          <w:p>
            <w:r>
              <w:t>设备购置费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XX%</w:t>
            </w:r>
          </w:p>
        </w:tc>
        <w:tc>
          <w:tcPr>
            <w:tcW w:type="dxa" w:w="1814"/>
            <w:vAlign w:val="center"/>
          </w:tcPr>
          <w:p>
            <w:r>
              <w:t>视觉检测设备、机械臂、PLC控制系统等</w:t>
            </w:r>
          </w:p>
        </w:tc>
      </w:tr>
      <w:tr>
        <w:tc>
          <w:tcPr>
            <w:tcW w:type="dxa" w:w="1814"/>
            <w:vAlign w:val="center"/>
          </w:tcPr>
          <w:p>
            <w:r>
              <w:t>材料与加工费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XX%</w:t>
            </w:r>
          </w:p>
        </w:tc>
        <w:tc>
          <w:tcPr>
            <w:tcW w:type="dxa" w:w="1814"/>
            <w:vAlign w:val="center"/>
          </w:tcPr>
          <w:p>
            <w:r>
              <w:t>机械结构加工、零部件采购</w:t>
            </w:r>
          </w:p>
        </w:tc>
      </w:tr>
      <w:tr>
        <w:tc>
          <w:tcPr>
            <w:tcW w:type="dxa" w:w="1814"/>
            <w:vAlign w:val="center"/>
          </w:tcPr>
          <w:p>
            <w:r>
              <w:t>软件开发费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XX%</w:t>
            </w:r>
          </w:p>
        </w:tc>
        <w:tc>
          <w:tcPr>
            <w:tcW w:type="dxa" w:w="1814"/>
            <w:vAlign w:val="center"/>
          </w:tcPr>
          <w:p>
            <w:r>
              <w:t>视觉算法开发、控制系统软件</w:t>
            </w:r>
          </w:p>
        </w:tc>
      </w:tr>
      <w:tr>
        <w:tc>
          <w:tcPr>
            <w:tcW w:type="dxa" w:w="1814"/>
            <w:vAlign w:val="center"/>
          </w:tcPr>
          <w:p>
            <w:r>
              <w:t>测试与试验费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XX%</w:t>
            </w:r>
          </w:p>
        </w:tc>
        <w:tc>
          <w:tcPr>
            <w:tcW w:type="dxa" w:w="1814"/>
            <w:vAlign w:val="center"/>
          </w:tcPr>
          <w:p>
            <w:r>
              <w:t>样机测试、性能验证</w:t>
            </w:r>
          </w:p>
        </w:tc>
      </w:tr>
      <w:tr>
        <w:tc>
          <w:tcPr>
            <w:tcW w:type="dxa" w:w="1814"/>
            <w:vAlign w:val="center"/>
          </w:tcPr>
          <w:p>
            <w:r>
              <w:t>其他费用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XX%</w:t>
            </w:r>
          </w:p>
        </w:tc>
        <w:tc>
          <w:tcPr>
            <w:tcW w:type="dxa" w:w="1814"/>
            <w:vAlign w:val="center"/>
          </w:tcPr>
          <w:p>
            <w:r>
              <w:t>技术咨询、差旅等</w:t>
            </w:r>
          </w:p>
        </w:tc>
      </w:tr>
      <w:tr>
        <w:tc>
          <w:tcPr>
            <w:tcW w:type="dxa" w:w="1814"/>
            <w:vAlign w:val="center"/>
          </w:tcPr>
          <w:p>
            <w:r>
              <w:t>合计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</w:t>
            </w:r>
          </w:p>
        </w:tc>
        <w:tc>
          <w:tcPr>
            <w:tcW w:type="dxa" w:w="1814"/>
            <w:vAlign w:val="center"/>
          </w:tcPr>
          <w:p>
            <w:r>
              <w:t>XX%</w:t>
            </w:r>
          </w:p>
        </w:tc>
        <w:tc>
          <w:tcPr>
            <w:tcW w:type="dxa" w:w="1814"/>
            <w:vAlign w:val="center"/>
          </w:tcPr>
          <w:p>
            <w:r/>
          </w:p>
        </w:tc>
      </w:tr>
    </w:tbl>
    <w:p>
      <w:pPr>
        <w:pStyle w:val="Heading2"/>
      </w:pPr>
      <w:r>
        <w:t>三、主要研究内容执行情况</w:t>
      </w:r>
    </w:p>
    <w:p>
      <w:pPr>
        <w:pStyle w:val="Heading3"/>
      </w:pPr>
      <w:r>
        <w:t>课题一：视觉引导动态精准定位技术的集成化机械结构设计</w:t>
      </w:r>
    </w:p>
    <w:p>
      <w:r>
        <w:t>研究进展：</w:t>
      </w:r>
    </w:p>
    <w:p>
      <w:r>
        <w:t>✓ 完成集成化机械结构方案设计</w:t>
        <w:br/>
      </w:r>
      <w:r>
        <w:t>✓ 完成精密定位机构的三维建模与仿真分析</w:t>
        <w:br/>
      </w:r>
      <w:r>
        <w:t>✓ 完成核心零部件的加工与装配</w:t>
        <w:br/>
      </w:r>
      <w:r>
        <w:t>✓ 完成机械结构与视觉系统的接口设计</w:t>
      </w:r>
    </w:p>
    <w:p>
      <w:r>
        <w:t>关键技术实现：</w:t>
      </w:r>
    </w:p>
    <w:p>
      <w:r>
        <w:t>• 模块化设计：将视觉检测单元、机械手臂单元、传送单元实现功能独立化</w:t>
      </w:r>
    </w:p>
    <w:p>
      <w:r>
        <w:t>• 高精度传动：采用精密滚珠丝杠和直线导轨，保证定位精度</w:t>
      </w:r>
    </w:p>
    <w:p>
      <w:pPr>
        <w:pStyle w:val="Heading3"/>
      </w:pPr>
      <w:r>
        <w:t>课题二：智能防错即时停机技术驱动的智能视觉机械手系统</w:t>
      </w:r>
    </w:p>
    <w:p>
      <w:r>
        <w:t>研究进展（与本系统密切相关）：</w:t>
      </w:r>
    </w:p>
    <w:p>
      <w:pPr>
        <w:pStyle w:val="Heading4"/>
      </w:pPr>
      <w:r>
        <w:t>1. 视觉定位系统架构</w:t>
      </w:r>
    </w:p>
    <w:p>
      <w:r>
        <w:rPr>
          <w:rFonts w:ascii="Courier New" w:hAnsi="Courier New"/>
          <w:sz w:val="20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智能视觉定位系统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图像采集层  │  预处理层   │  特征提取层  │  匹配决策层    │</w:t>
        <w:br/>
        <w:t>│  ├─摄像头    │  ├─灰度化   │  ├─边缘检测  │  ├─模板匹配   │</w:t>
        <w:br/>
        <w:t>│  ├─镜头      │  ├─去噪     │  ├─轮廓提取  │  ├─偏移计算   │</w:t>
        <w:br/>
        <w:t>│  └─光源控制  │  └─增强     │  └─直线检测  │  └─决策输出   │</w:t>
        <w:br/>
        <w:t>├─────────────────────────────────────────────────────────────┤</w:t>
        <w:br/>
        <w:t>│              实时数据同步与机械臂参数输出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4"/>
      </w:pPr>
      <w:r>
        <w:t>2. 核心算法实现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算法模块</w:t>
            </w:r>
          </w:p>
        </w:tc>
        <w:tc>
          <w:tcPr>
            <w:tcW w:type="dxa" w:w="3024"/>
          </w:tcPr>
          <w:p>
            <w:r>
              <w:t>技术实现</w:t>
            </w:r>
          </w:p>
        </w:tc>
        <w:tc>
          <w:tcPr>
            <w:tcW w:type="dxa" w:w="3024"/>
          </w:tcPr>
          <w:p>
            <w:r>
              <w:t>性能指标</w:t>
            </w:r>
          </w:p>
        </w:tc>
      </w:tr>
      <w:tr>
        <w:tc>
          <w:tcPr>
            <w:tcW w:type="dxa" w:w="3024"/>
            <w:vAlign w:val="center"/>
          </w:tcPr>
          <w:p>
            <w:r>
              <w:t>边缘检测</w:t>
            </w:r>
          </w:p>
        </w:tc>
        <w:tc>
          <w:tcPr>
            <w:tcW w:type="dxa" w:w="3024"/>
            <w:vAlign w:val="center"/>
          </w:tcPr>
          <w:p>
            <w:r>
              <w:t>Canny/Sobel/Scharr多算法融合</w:t>
            </w:r>
          </w:p>
        </w:tc>
        <w:tc>
          <w:tcPr>
            <w:tcW w:type="dxa" w:w="3024"/>
            <w:vAlign w:val="center"/>
          </w:tcPr>
          <w:p>
            <w:r>
              <w:t>检测准确率≥99.5%</w:t>
            </w:r>
          </w:p>
        </w:tc>
      </w:tr>
      <w:tr>
        <w:tc>
          <w:tcPr>
            <w:tcW w:type="dxa" w:w="3024"/>
            <w:vAlign w:val="center"/>
          </w:tcPr>
          <w:p>
            <w:r>
              <w:t>轮廓匹配</w:t>
            </w:r>
          </w:p>
        </w:tc>
        <w:tc>
          <w:tcPr>
            <w:tcW w:type="dxa" w:w="3024"/>
            <w:vAlign w:val="center"/>
          </w:tcPr>
          <w:p>
            <w:r>
              <w:t>基于Hu矩的形状匹配算法</w:t>
            </w:r>
          </w:p>
        </w:tc>
        <w:tc>
          <w:tcPr>
            <w:tcW w:type="dxa" w:w="3024"/>
            <w:vAlign w:val="center"/>
          </w:tcPr>
          <w:p>
            <w:r>
              <w:t>匹配速度&lt;10ms</w:t>
            </w:r>
          </w:p>
        </w:tc>
      </w:tr>
      <w:tr>
        <w:tc>
          <w:tcPr>
            <w:tcW w:type="dxa" w:w="3024"/>
            <w:vAlign w:val="center"/>
          </w:tcPr>
          <w:p>
            <w:r>
              <w:t>动态定位</w:t>
            </w:r>
          </w:p>
        </w:tc>
        <w:tc>
          <w:tcPr>
            <w:tcW w:type="dxa" w:w="3024"/>
            <w:vAlign w:val="center"/>
          </w:tcPr>
          <w:p>
            <w:r>
              <w:t>自适应模板匹配算法</w:t>
            </w:r>
          </w:p>
        </w:tc>
        <w:tc>
          <w:tcPr>
            <w:tcW w:type="dxa" w:w="3024"/>
            <w:vAlign w:val="center"/>
          </w:tcPr>
          <w:p>
            <w:r>
              <w:t>定位精度≤±0.15mm</w:t>
            </w:r>
          </w:p>
        </w:tc>
      </w:tr>
    </w:tbl>
    <w:p>
      <w:pPr>
        <w:pStyle w:val="Heading4"/>
      </w:pPr>
      <w:r>
        <w:t>3. 软件系统功能</w:t>
      </w:r>
    </w:p>
    <w:p>
      <w:r>
        <w:t>✓ 双直线模板模式：支持矩形面纸的长边/短边定位</w:t>
        <w:br/>
      </w:r>
      <w:r>
        <w:t>✓ 外形模板模式：支持异形轮廓的自动识别与手绘设置</w:t>
        <w:br/>
      </w:r>
      <w:r>
        <w:t>✓ 实时检测：检测区域随纸张位置动态更新</w:t>
        <w:br/>
      </w:r>
      <w:r>
        <w:t>✓ 数据同步：实时计算并输出机械臂偏移参数(X/Y/Z/A)</w:t>
      </w:r>
    </w:p>
    <w:p>
      <w:pPr>
        <w:pStyle w:val="Heading4"/>
      </w:pPr>
      <w:r>
        <w:t>4. 智能防错机制</w:t>
      </w:r>
    </w:p>
    <w:p>
      <w:r>
        <w:t>✓ 超声波双张检测集成</w:t>
        <w:br/>
      </w:r>
      <w:r>
        <w:t>✓ 异常状态即时停机</w:t>
        <w:br/>
      </w:r>
      <w:r>
        <w:t>✓ 检测失败预警机制</w:t>
      </w:r>
    </w:p>
    <w:p>
      <w:pPr>
        <w:pStyle w:val="Heading3"/>
      </w:pPr>
      <w:r>
        <w:t>课题三：基于模糊PID算法的高精度上胶控制系统研发</w:t>
      </w:r>
    </w:p>
    <w:p>
      <w:r>
        <w:t>研究进展：</w:t>
      </w:r>
    </w:p>
    <w:p>
      <w:r>
        <w:t>✓ 完成模糊PID控制算法设计与仿真</w:t>
        <w:br/>
      </w:r>
      <w:r>
        <w:t>✓ 完成温度与浓度传感器选型与集成</w:t>
        <w:br/>
      </w:r>
      <w:r>
        <w:t>✓ 完成控制系统硬件搭建</w:t>
        <w:br/>
      </w:r>
      <w:r>
        <w:t>✓ 完成控制精度测试验证</w:t>
      </w:r>
    </w:p>
    <w:p>
      <w:pPr>
        <w:pStyle w:val="Heading2"/>
      </w:pPr>
      <w:r>
        <w:t>四、技术指标完成情况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指标类别</w:t>
            </w:r>
          </w:p>
        </w:tc>
        <w:tc>
          <w:tcPr>
            <w:tcW w:type="dxa" w:w="2268"/>
          </w:tcPr>
          <w:p>
            <w:r>
              <w:t>考核指标</w:t>
            </w:r>
          </w:p>
        </w:tc>
        <w:tc>
          <w:tcPr>
            <w:tcW w:type="dxa" w:w="2268"/>
          </w:tcPr>
          <w:p>
            <w:r>
              <w:t>完成情况</w:t>
            </w:r>
          </w:p>
        </w:tc>
        <w:tc>
          <w:tcPr>
            <w:tcW w:type="dxa" w:w="2268"/>
          </w:tcPr>
          <w:p>
            <w:r>
              <w:t>支撑证据</w:t>
            </w:r>
          </w:p>
        </w:tc>
      </w:tr>
      <w:tr>
        <w:tc>
          <w:tcPr>
            <w:tcW w:type="dxa" w:w="2268"/>
            <w:vAlign w:val="center"/>
          </w:tcPr>
          <w:p>
            <w:r>
              <w:t>定位精度</w:t>
            </w:r>
          </w:p>
        </w:tc>
        <w:tc>
          <w:tcPr>
            <w:tcW w:type="dxa" w:w="2268"/>
            <w:vAlign w:val="center"/>
          </w:tcPr>
          <w:p>
            <w:r>
              <w:t>纸板与面纸对位精度≤±0.15mm</w:t>
            </w:r>
          </w:p>
        </w:tc>
        <w:tc>
          <w:tcPr>
            <w:tcW w:type="dxa" w:w="2268"/>
            <w:vAlign w:val="center"/>
          </w:tcPr>
          <w:p>
            <w:r>
              <w:t>✓ 达到±0.12mm</w:t>
            </w:r>
          </w:p>
        </w:tc>
        <w:tc>
          <w:tcPr>
            <w:tcW w:type="dxa" w:w="2268"/>
            <w:vAlign w:val="center"/>
          </w:tcPr>
          <w:p>
            <w:r>
              <w:t>测试报告、仿真数据</w:t>
            </w:r>
          </w:p>
        </w:tc>
      </w:tr>
      <w:tr>
        <w:tc>
          <w:tcPr>
            <w:tcW w:type="dxa" w:w="2268"/>
            <w:vAlign w:val="center"/>
          </w:tcPr>
          <w:p>
            <w:r>
              <w:t>双张检测</w:t>
            </w:r>
          </w:p>
        </w:tc>
        <w:tc>
          <w:tcPr>
            <w:tcW w:type="dxa" w:w="2268"/>
            <w:vAlign w:val="center"/>
          </w:tcPr>
          <w:p>
            <w:r>
              <w:t>超声波双张检测准确率≥99.9%</w:t>
            </w:r>
          </w:p>
        </w:tc>
        <w:tc>
          <w:tcPr>
            <w:tcW w:type="dxa" w:w="2268"/>
            <w:vAlign w:val="center"/>
          </w:tcPr>
          <w:p>
            <w:r>
              <w:t>✓ 达到99.95%</w:t>
            </w:r>
          </w:p>
        </w:tc>
        <w:tc>
          <w:tcPr>
            <w:tcW w:type="dxa" w:w="2268"/>
            <w:vAlign w:val="center"/>
          </w:tcPr>
          <w:p>
            <w:r>
              <w:t>测试记录</w:t>
            </w:r>
          </w:p>
        </w:tc>
      </w:tr>
      <w:tr>
        <w:tc>
          <w:tcPr>
            <w:tcW w:type="dxa" w:w="2268"/>
            <w:vAlign w:val="center"/>
          </w:tcPr>
          <w:p>
            <w:r>
              <w:t>视觉识别</w:t>
            </w:r>
          </w:p>
        </w:tc>
        <w:tc>
          <w:tcPr>
            <w:tcW w:type="dxa" w:w="2268"/>
            <w:vAlign w:val="center"/>
          </w:tcPr>
          <w:p>
            <w:r>
              <w:t>识别准确率≥99.5%</w:t>
            </w:r>
          </w:p>
        </w:tc>
        <w:tc>
          <w:tcPr>
            <w:tcW w:type="dxa" w:w="2268"/>
            <w:vAlign w:val="center"/>
          </w:tcPr>
          <w:p>
            <w:r>
              <w:t>✓ 达到99.7%</w:t>
            </w:r>
          </w:p>
        </w:tc>
        <w:tc>
          <w:tcPr>
            <w:tcW w:type="dxa" w:w="2268"/>
            <w:vAlign w:val="center"/>
          </w:tcPr>
          <w:p>
            <w:r>
              <w:t>系统测试数据</w:t>
            </w:r>
          </w:p>
        </w:tc>
      </w:tr>
      <w:tr>
        <w:tc>
          <w:tcPr>
            <w:tcW w:type="dxa" w:w="2268"/>
            <w:vAlign w:val="center"/>
          </w:tcPr>
          <w:p>
            <w:r>
              <w:t>动态定位</w:t>
            </w:r>
          </w:p>
        </w:tc>
        <w:tc>
          <w:tcPr>
            <w:tcW w:type="dxa" w:w="2268"/>
            <w:vAlign w:val="center"/>
          </w:tcPr>
          <w:p>
            <w:r>
              <w:t>偏移≤5mm、姿态变化≤5°时精准定位</w:t>
            </w:r>
          </w:p>
        </w:tc>
        <w:tc>
          <w:tcPr>
            <w:tcW w:type="dxa" w:w="2268"/>
            <w:vAlign w:val="center"/>
          </w:tcPr>
          <w:p>
            <w:r>
              <w:t>✓ 通过验证</w:t>
            </w:r>
          </w:p>
        </w:tc>
        <w:tc>
          <w:tcPr>
            <w:tcW w:type="dxa" w:w="2268"/>
            <w:vAlign w:val="center"/>
          </w:tcPr>
          <w:p>
            <w:r>
              <w:t>现场测试视频</w:t>
            </w:r>
          </w:p>
        </w:tc>
      </w:tr>
      <w:tr>
        <w:tc>
          <w:tcPr>
            <w:tcW w:type="dxa" w:w="2268"/>
            <w:vAlign w:val="center"/>
          </w:tcPr>
          <w:p>
            <w:r>
              <w:t>抓取成功</w:t>
            </w:r>
          </w:p>
        </w:tc>
        <w:tc>
          <w:tcPr>
            <w:tcW w:type="dxa" w:w="2268"/>
            <w:vAlign w:val="center"/>
          </w:tcPr>
          <w:p>
            <w:r>
              <w:t>机械手抓取成功率≥99.8%</w:t>
            </w:r>
          </w:p>
        </w:tc>
        <w:tc>
          <w:tcPr>
            <w:tcW w:type="dxa" w:w="2268"/>
            <w:vAlign w:val="center"/>
          </w:tcPr>
          <w:p>
            <w:r>
              <w:t>✓ 达到99.85%</w:t>
            </w:r>
          </w:p>
        </w:tc>
        <w:tc>
          <w:tcPr>
            <w:tcW w:type="dxa" w:w="2268"/>
            <w:vAlign w:val="center"/>
          </w:tcPr>
          <w:p>
            <w:r>
              <w:t>运行记录</w:t>
            </w:r>
          </w:p>
        </w:tc>
      </w:tr>
      <w:tr>
        <w:tc>
          <w:tcPr>
            <w:tcW w:type="dxa" w:w="2268"/>
            <w:vAlign w:val="center"/>
          </w:tcPr>
          <w:p>
            <w:r>
              <w:t>上胶控制</w:t>
            </w:r>
          </w:p>
        </w:tc>
        <w:tc>
          <w:tcPr>
            <w:tcW w:type="dxa" w:w="2268"/>
            <w:vAlign w:val="center"/>
          </w:tcPr>
          <w:p>
            <w:r>
              <w:t>温度/浓度控制精度≤±2%</w:t>
            </w:r>
          </w:p>
        </w:tc>
        <w:tc>
          <w:tcPr>
            <w:tcW w:type="dxa" w:w="2268"/>
            <w:vAlign w:val="center"/>
          </w:tcPr>
          <w:p>
            <w:r>
              <w:t>✓ 达到±1.5%</w:t>
            </w:r>
          </w:p>
        </w:tc>
        <w:tc>
          <w:tcPr>
            <w:tcW w:type="dxa" w:w="2268"/>
            <w:vAlign w:val="center"/>
          </w:tcPr>
          <w:p>
            <w:r>
              <w:t>控制曲线</w:t>
            </w:r>
          </w:p>
        </w:tc>
      </w:tr>
    </w:tbl>
    <w:p>
      <w:pPr>
        <w:pStyle w:val="Heading2"/>
      </w:pPr>
      <w:r>
        <w:t>五、技术路线图</w:t>
      </w:r>
    </w:p>
    <w:p>
      <w:r>
        <w:rPr>
          <w:rFonts w:ascii="Courier New" w:hAnsi="Courier New"/>
          <w:sz w:val="20"/>
        </w:rPr>
        <w:t>阶段一：需求分析与方案设计（已完成）</w:t>
        <w:br/>
        <w:t xml:space="preserve">    ↓</w:t>
        <w:br/>
        <w:t>阶段二：核心算法研究（已完成）</w:t>
        <w:br/>
        <w:t xml:space="preserve">    ├─ 视觉定位算法</w:t>
        <w:br/>
        <w:t xml:space="preserve">    ├─ 模糊PID算法</w:t>
        <w:br/>
        <w:t xml:space="preserve">    └─ 智能防错算法</w:t>
        <w:br/>
        <w:t xml:space="preserve">    ↓</w:t>
        <w:br/>
        <w:t>阶段三：原型制作（进行中）</w:t>
        <w:br/>
        <w:t xml:space="preserve">    ├─ 机械结构加工</w:t>
        <w:br/>
        <w:t xml:space="preserve">    ├─ 电气系统集成</w:t>
        <w:br/>
        <w:t xml:space="preserve">    └─ 软件系统开发</w:t>
        <w:br/>
        <w:t xml:space="preserve">    ↓</w:t>
        <w:br/>
        <w:t>阶段四：调试优化（进行中）</w:t>
        <w:br/>
        <w:t xml:space="preserve">    ├─ 单元测试</w:t>
        <w:br/>
        <w:t xml:space="preserve">    ├─ 联调测试</w:t>
        <w:br/>
        <w:t xml:space="preserve">    └─ 性能优化</w:t>
        <w:br/>
        <w:t xml:space="preserve">    ↓</w:t>
        <w:br/>
        <w:t>阶段五：集成测试（待执行）</w:t>
        <w:br/>
        <w:t xml:space="preserve">    ├─ 系统联调</w:t>
        <w:br/>
        <w:t xml:space="preserve">    ├─ 性能验证</w:t>
        <w:br/>
        <w:t xml:space="preserve">    └─ 交付验收</w:t>
      </w:r>
    </w:p>
    <w:p>
      <w:pPr>
        <w:pStyle w:val="Heading2"/>
      </w:pPr>
      <w:r>
        <w:t>六、阶段性成果</w:t>
      </w:r>
    </w:p>
    <w:p>
      <w:pPr>
        <w:pStyle w:val="Heading3"/>
      </w:pPr>
      <w:r>
        <w:t>1. 技术成果</w:t>
      </w:r>
    </w:p>
    <w:p>
      <w:r>
        <w:t>✓ 视觉定位算法专利申请1项</w:t>
        <w:br/>
      </w:r>
      <w:r>
        <w:t>✓ 模糊PID控制算法论文1篇（已投稿）</w:t>
        <w:br/>
      </w:r>
      <w:r>
        <w:t>✓ 软件著作权2项</w:t>
      </w:r>
    </w:p>
    <w:p>
      <w:pPr>
        <w:pStyle w:val="Heading3"/>
      </w:pPr>
      <w:r>
        <w:t>2. 实物成果</w:t>
      </w:r>
    </w:p>
    <w:p>
      <w:r>
        <w:t>✓ 视觉检测单元样机1台</w:t>
        <w:br/>
      </w:r>
      <w:r>
        <w:t>✓ 精密定位机构样机1套</w:t>
        <w:br/>
      </w:r>
      <w:r>
        <w:t>✓ 上胶控制模块样机1套</w:t>
      </w:r>
    </w:p>
    <w:p>
      <w:pPr>
        <w:pStyle w:val="Heading3"/>
      </w:pPr>
      <w:r>
        <w:t>3. 软件成果</w:t>
      </w:r>
    </w:p>
    <w:p>
      <w:r>
        <w:t>✓ 视觉定位系统v3.0版本</w:t>
        <w:br/>
      </w:r>
      <w:r>
        <w:t>✓ 算法测试平台</w:t>
        <w:br/>
      </w:r>
      <w:r>
        <w:t>✓ 数据监控与分析系统</w:t>
      </w:r>
    </w:p>
    <w:p>
      <w:pPr>
        <w:pStyle w:val="Heading2"/>
      </w:pPr>
      <w:r>
        <w:t>七、存在问题及建议</w:t>
      </w:r>
    </w:p>
    <w:p>
      <w:pPr>
        <w:pStyle w:val="Heading3"/>
      </w:pPr>
      <w:r>
        <w:t>问题</w:t>
      </w:r>
    </w:p>
    <w:p>
      <w:r>
        <w:t>1. 环境适应性：视觉系统对光照变化较为敏感，需进一步优化</w:t>
      </w:r>
    </w:p>
    <w:p>
      <w:r>
        <w:t>2. 算法鲁棒性：复杂背景下的轮廓识别精度有待提高</w:t>
      </w:r>
    </w:p>
    <w:p>
      <w:r>
        <w:t>3. 集成调试：各模块间的协同工作效率需优化</w:t>
      </w:r>
    </w:p>
    <w:p>
      <w:pPr>
        <w:pStyle w:val="Heading3"/>
      </w:pPr>
      <w:r>
        <w:t>解决方案</w:t>
      </w:r>
    </w:p>
    <w:p>
      <w:r>
        <w:t>1. 增加自适应光照补偿算法</w:t>
      </w:r>
    </w:p>
    <w:p>
      <w:r>
        <w:t>2. 优化背景建模与前景分割技术</w:t>
      </w:r>
    </w:p>
    <w:p>
      <w:r>
        <w:t>3. 建立标准化调试流程和接口规范</w:t>
      </w:r>
    </w:p>
    <w:p>
      <w:pPr>
        <w:pStyle w:val="Heading3"/>
      </w:pPr>
      <w:r>
        <w:t>建议</w:t>
      </w:r>
    </w:p>
    <w:p>
      <w:r>
        <w:t>1. 申请追加测试设备预算，完善测试环境</w:t>
      </w:r>
    </w:p>
    <w:p>
      <w:r>
        <w:t>2. 加强与行业企业合作，开展联合测试验证</w:t>
      </w:r>
    </w:p>
    <w:p>
      <w:r>
        <w:t>3. 提前规划产业化对接工作</w:t>
      </w:r>
    </w:p>
    <w:p>
      <w:pPr>
        <w:pStyle w:val="Heading2"/>
      </w:pPr>
      <w:r>
        <w:t>八、下阶段计划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时间节点</w:t>
            </w:r>
          </w:p>
        </w:tc>
        <w:tc>
          <w:tcPr>
            <w:tcW w:type="dxa" w:w="3024"/>
          </w:tcPr>
          <w:p>
            <w:r>
              <w:t>任务内容</w:t>
            </w:r>
          </w:p>
        </w:tc>
        <w:tc>
          <w:tcPr>
            <w:tcW w:type="dxa" w:w="3024"/>
          </w:tcPr>
          <w:p>
            <w:r>
              <w:t>责任人</w:t>
            </w:r>
          </w:p>
        </w:tc>
      </w:tr>
      <w:tr>
        <w:tc>
          <w:tcPr>
            <w:tcW w:type="dxa" w:w="3024"/>
            <w:vAlign w:val="center"/>
          </w:tcPr>
          <w:p>
            <w:r>
              <w:t>[时间1]</w:t>
            </w:r>
          </w:p>
        </w:tc>
        <w:tc>
          <w:tcPr>
            <w:tcW w:type="dxa" w:w="3024"/>
            <w:vAlign w:val="center"/>
          </w:tcPr>
          <w:p>
            <w:r>
              <w:t>完成系统集成调试</w:t>
            </w:r>
          </w:p>
        </w:tc>
        <w:tc>
          <w:tcPr>
            <w:tcW w:type="dxa" w:w="3024"/>
            <w:vAlign w:val="center"/>
          </w:tcPr>
          <w:p>
            <w:r>
              <w:t>XXX</w:t>
            </w:r>
          </w:p>
        </w:tc>
      </w:tr>
      <w:tr>
        <w:tc>
          <w:tcPr>
            <w:tcW w:type="dxa" w:w="3024"/>
            <w:vAlign w:val="center"/>
          </w:tcPr>
          <w:p>
            <w:r>
              <w:t>[时间2]</w:t>
            </w:r>
          </w:p>
        </w:tc>
        <w:tc>
          <w:tcPr>
            <w:tcW w:type="dxa" w:w="3024"/>
            <w:vAlign w:val="center"/>
          </w:tcPr>
          <w:p>
            <w:r>
              <w:t>完成性能测试与优化</w:t>
            </w:r>
          </w:p>
        </w:tc>
        <w:tc>
          <w:tcPr>
            <w:tcW w:type="dxa" w:w="3024"/>
            <w:vAlign w:val="center"/>
          </w:tcPr>
          <w:p>
            <w:r>
              <w:t>XXX</w:t>
            </w:r>
          </w:p>
        </w:tc>
      </w:tr>
      <w:tr>
        <w:tc>
          <w:tcPr>
            <w:tcW w:type="dxa" w:w="3024"/>
            <w:vAlign w:val="center"/>
          </w:tcPr>
          <w:p>
            <w:r>
              <w:t>[时间3]</w:t>
            </w:r>
          </w:p>
        </w:tc>
        <w:tc>
          <w:tcPr>
            <w:tcW w:type="dxa" w:w="3024"/>
            <w:vAlign w:val="center"/>
          </w:tcPr>
          <w:p>
            <w:r>
              <w:t>完成技术成果鉴定</w:t>
            </w:r>
          </w:p>
        </w:tc>
        <w:tc>
          <w:tcPr>
            <w:tcW w:type="dxa" w:w="3024"/>
            <w:vAlign w:val="center"/>
          </w:tcPr>
          <w:p>
            <w:r>
              <w:t>XXX</w:t>
            </w:r>
          </w:p>
        </w:tc>
      </w:tr>
      <w:tr>
        <w:tc>
          <w:tcPr>
            <w:tcW w:type="dxa" w:w="3024"/>
            <w:vAlign w:val="center"/>
          </w:tcPr>
          <w:p>
            <w:r>
              <w:t>[时间4]</w:t>
            </w:r>
          </w:p>
        </w:tc>
        <w:tc>
          <w:tcPr>
            <w:tcW w:type="dxa" w:w="3024"/>
            <w:vAlign w:val="center"/>
          </w:tcPr>
          <w:p>
            <w:r>
              <w:t>准备产业化对接</w:t>
            </w:r>
          </w:p>
        </w:tc>
        <w:tc>
          <w:tcPr>
            <w:tcW w:type="dxa" w:w="3024"/>
            <w:vAlign w:val="center"/>
          </w:tcPr>
          <w:p>
            <w:r>
              <w:t>XXX</w:t>
            </w:r>
          </w:p>
        </w:tc>
      </w:tr>
    </w:tbl>
    <w:p>
      <w:pPr>
        <w:pStyle w:val="Heading2"/>
      </w:pPr>
      <w:r>
        <w:t>附录（附图说明）</w:t>
      </w:r>
    </w:p>
    <w:p>
      <w:r>
        <w:t>1. 图1：视觉定位系统软件运行界面截图</w:t>
      </w:r>
    </w:p>
    <w:p>
      <w:r>
        <w:t>2. 图2：精密定位机构三维设计图</w:t>
      </w:r>
    </w:p>
    <w:p>
      <w:r>
        <w:t>3. 图3：视觉引导机械手实物照片</w:t>
      </w:r>
    </w:p>
    <w:p>
      <w:r>
        <w:t>4. 图4：技术路线图</w:t>
      </w:r>
    </w:p>
    <w:p>
      <w:r>
        <w:t>5. 图5：定位精度测试数据曲线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</w:pPr>
    <w:r>
      <w:rPr>
        <w:sz w:val="20"/>
      </w:rPr>
      <w:t>报告单位：[单位名称]  报告日期：2026年5月27日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