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6FFF" w14:textId="77777777" w:rsidR="0008212D" w:rsidRPr="0008212D" w:rsidRDefault="0008212D" w:rsidP="0008212D">
      <w:pPr>
        <w:jc w:val="both"/>
        <w:rPr>
          <w:rFonts w:ascii="Arial" w:hAnsi="Arial" w:cs="Arial"/>
          <w:b/>
          <w:bCs/>
          <w:color w:val="000000" w:themeColor="text1"/>
          <w:sz w:val="22"/>
          <w:szCs w:val="22"/>
          <w:u w:val="single"/>
          <w:lang w:val="en-GB"/>
        </w:rPr>
      </w:pPr>
      <w:r w:rsidRPr="0008212D">
        <w:rPr>
          <w:rFonts w:ascii="Arial" w:hAnsi="Arial" w:cs="Arial"/>
          <w:b/>
          <w:bCs/>
          <w:color w:val="000000" w:themeColor="text1"/>
          <w:sz w:val="22"/>
          <w:szCs w:val="22"/>
          <w:u w:val="single"/>
          <w:lang w:val="en-GB"/>
        </w:rPr>
        <w:t xml:space="preserve">My Initial </w:t>
      </w:r>
      <w:proofErr w:type="spellStart"/>
      <w:r w:rsidRPr="0008212D">
        <w:rPr>
          <w:rFonts w:ascii="Arial" w:hAnsi="Arial" w:cs="Arial"/>
          <w:b/>
          <w:bCs/>
          <w:color w:val="000000" w:themeColor="text1"/>
          <w:sz w:val="22"/>
          <w:szCs w:val="22"/>
          <w:u w:val="single"/>
          <w:lang w:val="en-GB"/>
        </w:rPr>
        <w:t>Post</w:t>
      </w:r>
    </w:p>
    <w:p w14:paraId="7D8C09CE" w14:textId="77777777" w:rsidR="0008212D" w:rsidRPr="0008212D" w:rsidRDefault="0008212D" w:rsidP="0008212D">
      <w:pPr>
        <w:jc w:val="both"/>
        <w:rPr>
          <w:rFonts w:ascii="Arial" w:hAnsi="Arial" w:cs="Arial"/>
          <w:color w:val="000000" w:themeColor="text1"/>
          <w:sz w:val="22"/>
          <w:szCs w:val="22"/>
          <w:lang w:val="en-GB"/>
        </w:rPr>
      </w:pPr>
      <w:proofErr w:type="spellEnd"/>
    </w:p>
    <w:p w14:paraId="3F570DDB"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Fonts w:ascii="Arial" w:hAnsi="Arial" w:cs="Arial"/>
          <w:color w:val="000000" w:themeColor="text1"/>
          <w:sz w:val="22"/>
          <w:szCs w:val="22"/>
        </w:rPr>
        <w:t>In Chapter 1 of Industry 4.0 to Industry 5.0, Metcalf (2024) argues that the transition from Industry 4.0 to Industry 5.0 represents not simply technological progress, but a paradigmatic shift from technological developments to socio-economic change with a variety of evolving challenges including the environment, ecology, as well as the issues emerging due to our reliance on technologies and their effect on society. Industry 4.0 prioritised cyberphysical systems, e-commerce, the Internet of Things (IoT) whilst Industry 5.0 places the human being at the centre, attempting to alleviate pressure by increasing automation and interconnected systems. This distinction is highly relevant to the healthcare sector in which I work as a radiation regulator, where machine learning is used to aid the human not to replace them.</w:t>
      </w:r>
    </w:p>
    <w:p w14:paraId="09BB53B1"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Fonts w:ascii="Arial" w:hAnsi="Arial" w:cs="Arial"/>
          <w:color w:val="000000" w:themeColor="text1"/>
          <w:sz w:val="22"/>
          <w:szCs w:val="22"/>
        </w:rPr>
        <w:t>Healthcare has been significantly transformed by Industry 4.0 technologies including digitisation, artificial intelligence, and augmented reality. AI-assisted image analysis,  digital dose monitoring systems, and telemedicine have improved diagnostic speed and efficiency (Younesi et al., 2026). However, these gains come with systemic vulnerabilities which were highlighted in the 2021 ransomware attack on Ireland’s Health Service Executive (HSE) which showed how dependent modern healthcare has become in interconnected digital systems. Staff were forced to revert to pen and paper, without access to diagnostic and medical records (US Department, 2022). The private information of thousands who received the COVID-19 vaccine was exposed, and a huge amount of unencrypted data was exfiltrated. Diagnosis and treatment were delayed, leading to a flurry of lawsuits from patients regarding their care, which in turn led to huge costs to respond to the incident (US Department, 2022).  Apart from this, patient care and public trust were also hurt.</w:t>
      </w:r>
    </w:p>
    <w:p w14:paraId="72866B90"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Fonts w:ascii="Arial" w:hAnsi="Arial" w:cs="Arial"/>
          <w:color w:val="000000" w:themeColor="text1"/>
          <w:sz w:val="22"/>
          <w:szCs w:val="22"/>
        </w:rPr>
        <w:t>Therefore, whilst Industry 4.0 has been beneficial in a myriad of ways, it has exposed us to various threats which we have not been able to fully mitigate. By implementing Industry 5.0, integrating the IoT, artificial intelligence, and 6G communications under the principles of sustainability, resilience, and being human-centered, care can be evolved into more proactive, personalised and real-time care. Data privacy and clear AI are to be encouraged (Younesi et al., 2026). This paradigm shift will create a stronger working relationship between man and machine; however, Kour et al. (2024) insist that no definite conclusion has been reached which demonstrates that Industry 5.0’s principles will have any particular impact on cybersecurity. Further exploration and research are needed in order to strengthen these point as the risks will only become higher as time goes on.</w:t>
      </w:r>
    </w:p>
    <w:p w14:paraId="29D97158"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Style w:val="Strong"/>
          <w:rFonts w:ascii="Arial" w:eastAsiaTheme="majorEastAsia" w:hAnsi="Arial" w:cs="Arial"/>
          <w:color w:val="000000" w:themeColor="text1"/>
          <w:sz w:val="22"/>
          <w:szCs w:val="22"/>
          <w:u w:val="single"/>
        </w:rPr>
        <w:t>References</w:t>
      </w:r>
      <w:r w:rsidRPr="0008212D">
        <w:rPr>
          <w:rFonts w:ascii="Arial" w:hAnsi="Arial" w:cs="Arial"/>
          <w:color w:val="000000" w:themeColor="text1"/>
          <w:sz w:val="22"/>
          <w:szCs w:val="22"/>
        </w:rPr>
        <w:t>:</w:t>
      </w:r>
    </w:p>
    <w:p w14:paraId="15DE0461"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Fonts w:ascii="Arial" w:hAnsi="Arial" w:cs="Arial"/>
          <w:color w:val="000000" w:themeColor="text1"/>
          <w:sz w:val="22"/>
          <w:szCs w:val="22"/>
        </w:rPr>
        <w:t>Kour, R. </w:t>
      </w:r>
      <w:r w:rsidRPr="0008212D">
        <w:rPr>
          <w:rFonts w:ascii="Arial" w:hAnsi="Arial" w:cs="Arial"/>
          <w:i/>
          <w:iCs/>
          <w:color w:val="000000" w:themeColor="text1"/>
          <w:sz w:val="22"/>
          <w:szCs w:val="22"/>
        </w:rPr>
        <w:t>et al.</w:t>
      </w:r>
      <w:r w:rsidRPr="0008212D">
        <w:rPr>
          <w:rFonts w:ascii="Arial" w:hAnsi="Arial" w:cs="Arial"/>
          <w:color w:val="000000" w:themeColor="text1"/>
          <w:sz w:val="22"/>
          <w:szCs w:val="22"/>
        </w:rPr>
        <w:t> (2024) ‘Cybersecurity for Industry 5.0: Trends and gaps’, </w:t>
      </w:r>
      <w:r w:rsidRPr="0008212D">
        <w:rPr>
          <w:rFonts w:ascii="Arial" w:hAnsi="Arial" w:cs="Arial"/>
          <w:i/>
          <w:iCs/>
          <w:color w:val="000000" w:themeColor="text1"/>
          <w:sz w:val="22"/>
          <w:szCs w:val="22"/>
        </w:rPr>
        <w:t>Frontiers in Computer Science</w:t>
      </w:r>
      <w:r w:rsidRPr="0008212D">
        <w:rPr>
          <w:rFonts w:ascii="Arial" w:hAnsi="Arial" w:cs="Arial"/>
          <w:color w:val="000000" w:themeColor="text1"/>
          <w:sz w:val="22"/>
          <w:szCs w:val="22"/>
        </w:rPr>
        <w:t>, 6. doi:10.3389/fcomp.2024.1434436.</w:t>
      </w:r>
    </w:p>
    <w:p w14:paraId="015AB4B0"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Fonts w:ascii="Arial" w:hAnsi="Arial" w:cs="Arial"/>
          <w:color w:val="000000" w:themeColor="text1"/>
          <w:sz w:val="22"/>
          <w:szCs w:val="22"/>
        </w:rPr>
        <w:t>Metcalf, G.S. (2024) ‘An Introduction to Industry 5.0: History, Foundations, and Future’, in </w:t>
      </w:r>
      <w:r w:rsidRPr="0008212D">
        <w:rPr>
          <w:rFonts w:ascii="Arial" w:hAnsi="Arial" w:cs="Arial"/>
          <w:i/>
          <w:iCs/>
          <w:color w:val="000000" w:themeColor="text1"/>
          <w:sz w:val="22"/>
          <w:szCs w:val="22"/>
        </w:rPr>
        <w:t>Industry 4.0 to Industry 5.0 - Explorations in the Transition from a Techno-economic to a Socio-technical Future</w:t>
      </w:r>
      <w:r w:rsidRPr="0008212D">
        <w:rPr>
          <w:rFonts w:ascii="Arial" w:hAnsi="Arial" w:cs="Arial"/>
          <w:color w:val="000000" w:themeColor="text1"/>
          <w:sz w:val="22"/>
          <w:szCs w:val="22"/>
        </w:rPr>
        <w:t>. SIngapore: Springer, pp. 1–29.</w:t>
      </w:r>
    </w:p>
    <w:p w14:paraId="0FD2874D"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Fonts w:ascii="Arial" w:hAnsi="Arial" w:cs="Arial"/>
          <w:color w:val="000000" w:themeColor="text1"/>
          <w:sz w:val="22"/>
          <w:szCs w:val="22"/>
        </w:rPr>
        <w:t>United States Department of Health and Human Services (2022) </w:t>
      </w:r>
      <w:r w:rsidRPr="0008212D">
        <w:rPr>
          <w:rFonts w:ascii="Arial" w:hAnsi="Arial" w:cs="Arial"/>
          <w:i/>
          <w:iCs/>
          <w:color w:val="000000" w:themeColor="text1"/>
          <w:sz w:val="22"/>
          <w:szCs w:val="22"/>
        </w:rPr>
        <w:t>Lessons Learned from the HSE Cyber Attack</w:t>
      </w:r>
      <w:r w:rsidRPr="0008212D">
        <w:rPr>
          <w:rFonts w:ascii="Arial" w:hAnsi="Arial" w:cs="Arial"/>
          <w:color w:val="000000" w:themeColor="text1"/>
          <w:sz w:val="22"/>
          <w:szCs w:val="22"/>
        </w:rPr>
        <w:t> [Preprint].</w:t>
      </w:r>
    </w:p>
    <w:p w14:paraId="1A9D53C4" w14:textId="77777777" w:rsidR="0008212D" w:rsidRPr="0008212D" w:rsidRDefault="0008212D" w:rsidP="0008212D">
      <w:pPr>
        <w:pStyle w:val="NormalWeb"/>
        <w:shd w:val="clear" w:color="auto" w:fill="FFFFFF"/>
        <w:spacing w:before="0" w:beforeAutospacing="0"/>
        <w:jc w:val="both"/>
        <w:rPr>
          <w:rFonts w:ascii="Arial" w:hAnsi="Arial" w:cs="Arial"/>
          <w:color w:val="000000" w:themeColor="text1"/>
          <w:sz w:val="22"/>
          <w:szCs w:val="22"/>
        </w:rPr>
      </w:pPr>
      <w:r w:rsidRPr="0008212D">
        <w:rPr>
          <w:rFonts w:ascii="Arial" w:hAnsi="Arial" w:cs="Arial"/>
          <w:color w:val="000000" w:themeColor="text1"/>
          <w:sz w:val="22"/>
          <w:szCs w:val="22"/>
        </w:rPr>
        <w:t>Younesi, A. </w:t>
      </w:r>
      <w:r w:rsidRPr="0008212D">
        <w:rPr>
          <w:rFonts w:ascii="Arial" w:hAnsi="Arial" w:cs="Arial"/>
          <w:i/>
          <w:iCs/>
          <w:color w:val="000000" w:themeColor="text1"/>
          <w:sz w:val="22"/>
          <w:szCs w:val="22"/>
        </w:rPr>
        <w:t>et al.</w:t>
      </w:r>
      <w:r w:rsidRPr="0008212D">
        <w:rPr>
          <w:rFonts w:ascii="Arial" w:hAnsi="Arial" w:cs="Arial"/>
          <w:color w:val="000000" w:themeColor="text1"/>
          <w:sz w:val="22"/>
          <w:szCs w:val="22"/>
        </w:rPr>
        <w:t> (2026) ‘Healthcare 5.0: An industry 5.0 perspective for next-generation medical systems with synergistic integration of IOT, AI, and 6G’, </w:t>
      </w:r>
      <w:r w:rsidRPr="0008212D">
        <w:rPr>
          <w:rFonts w:ascii="Arial" w:hAnsi="Arial" w:cs="Arial"/>
          <w:i/>
          <w:iCs/>
          <w:color w:val="000000" w:themeColor="text1"/>
          <w:sz w:val="22"/>
          <w:szCs w:val="22"/>
        </w:rPr>
        <w:t>Internet of Things</w:t>
      </w:r>
      <w:r w:rsidRPr="0008212D">
        <w:rPr>
          <w:rFonts w:ascii="Arial" w:hAnsi="Arial" w:cs="Arial"/>
          <w:color w:val="000000" w:themeColor="text1"/>
          <w:sz w:val="22"/>
          <w:szCs w:val="22"/>
        </w:rPr>
        <w:t>, 35, p. 101815. doi:10.1016/j.iot.2025.101815.</w:t>
      </w:r>
    </w:p>
    <w:p w14:paraId="20B81320" w14:textId="77777777" w:rsidR="0008212D" w:rsidRPr="0008212D" w:rsidRDefault="0008212D" w:rsidP="0008212D">
      <w:pPr>
        <w:jc w:val="both"/>
        <w:rPr>
          <w:rFonts w:ascii="Arial" w:hAnsi="Arial" w:cs="Arial"/>
          <w:color w:val="000000" w:themeColor="text1"/>
          <w:sz w:val="22"/>
          <w:szCs w:val="22"/>
          <w:lang w:val="en-GB"/>
        </w:rPr>
      </w:pPr>
    </w:p>
    <w:p w14:paraId="26776A6C" w14:textId="77777777" w:rsidR="0008212D" w:rsidRPr="0008212D" w:rsidRDefault="0008212D" w:rsidP="0008212D">
      <w:pPr>
        <w:jc w:val="both"/>
        <w:rPr>
          <w:rFonts w:ascii="Arial" w:hAnsi="Arial" w:cs="Arial"/>
          <w:color w:val="000000" w:themeColor="text1"/>
          <w:sz w:val="22"/>
          <w:szCs w:val="22"/>
          <w:lang w:val="en-GB"/>
        </w:rPr>
      </w:pPr>
    </w:p>
    <w:p w14:paraId="35EAE3FD" w14:textId="77777777" w:rsidR="0008212D" w:rsidRPr="0008212D" w:rsidRDefault="0008212D" w:rsidP="0008212D">
      <w:pPr>
        <w:jc w:val="both"/>
        <w:rPr>
          <w:rFonts w:ascii="Arial" w:hAnsi="Arial" w:cs="Arial"/>
          <w:color w:val="000000" w:themeColor="text1"/>
          <w:sz w:val="22"/>
          <w:szCs w:val="22"/>
          <w:lang w:val="en-GB"/>
        </w:rPr>
      </w:pPr>
    </w:p>
    <w:p w14:paraId="5E91E7FF" w14:textId="0FC69696" w:rsidR="0008212D" w:rsidRPr="00FC3557" w:rsidRDefault="0008212D" w:rsidP="0008212D">
      <w:pPr>
        <w:jc w:val="both"/>
        <w:rPr>
          <w:rFonts w:ascii="Arial" w:hAnsi="Arial" w:cs="Arial"/>
          <w:b/>
          <w:bCs/>
          <w:i/>
          <w:iCs/>
          <w:color w:val="000000" w:themeColor="text1"/>
          <w:sz w:val="22"/>
          <w:szCs w:val="22"/>
          <w:u w:val="single"/>
          <w:lang w:val="en-GB"/>
        </w:rPr>
      </w:pPr>
      <w:r w:rsidRPr="00FC3557">
        <w:rPr>
          <w:rFonts w:ascii="Arial" w:hAnsi="Arial" w:cs="Arial"/>
          <w:b/>
          <w:bCs/>
          <w:i/>
          <w:iCs/>
          <w:color w:val="000000" w:themeColor="text1"/>
          <w:sz w:val="22"/>
          <w:szCs w:val="22"/>
          <w:u w:val="single"/>
          <w:lang w:val="en-GB"/>
        </w:rPr>
        <w:t>Peer Response to my Initial Post</w:t>
      </w:r>
      <w:r w:rsidR="00FC3557" w:rsidRPr="00FC3557">
        <w:rPr>
          <w:rFonts w:ascii="Arial" w:hAnsi="Arial" w:cs="Arial"/>
          <w:b/>
          <w:bCs/>
          <w:i/>
          <w:iCs/>
          <w:color w:val="000000" w:themeColor="text1"/>
          <w:sz w:val="22"/>
          <w:szCs w:val="22"/>
          <w:u w:val="single"/>
          <w:lang w:val="en-GB"/>
        </w:rPr>
        <w:t xml:space="preserve"> – Mosleh Al </w:t>
      </w:r>
      <w:proofErr w:type="spellStart"/>
      <w:r w:rsidR="00FC3557" w:rsidRPr="00FC3557">
        <w:rPr>
          <w:rFonts w:ascii="Arial" w:hAnsi="Arial" w:cs="Arial"/>
          <w:b/>
          <w:bCs/>
          <w:i/>
          <w:iCs/>
          <w:color w:val="000000" w:themeColor="text1"/>
          <w:sz w:val="22"/>
          <w:szCs w:val="22"/>
          <w:u w:val="single"/>
          <w:lang w:val="en-GB"/>
        </w:rPr>
        <w:t>Nakib</w:t>
      </w:r>
      <w:proofErr w:type="spellEnd"/>
    </w:p>
    <w:p w14:paraId="65BA3FBC" w14:textId="77777777" w:rsidR="0008212D" w:rsidRPr="00FC3557" w:rsidRDefault="0008212D" w:rsidP="0008212D">
      <w:pPr>
        <w:jc w:val="both"/>
        <w:rPr>
          <w:rFonts w:ascii="Arial" w:hAnsi="Arial" w:cs="Arial"/>
          <w:i/>
          <w:iCs/>
          <w:color w:val="000000" w:themeColor="text1"/>
          <w:sz w:val="22"/>
          <w:szCs w:val="22"/>
          <w:lang w:val="en-GB"/>
        </w:rPr>
      </w:pPr>
    </w:p>
    <w:p w14:paraId="528ECAE4" w14:textId="77777777" w:rsidR="0008212D" w:rsidRPr="0008212D" w:rsidRDefault="0008212D" w:rsidP="0008212D">
      <w:pPr>
        <w:shd w:val="clear" w:color="auto" w:fill="FFFFFF"/>
        <w:spacing w:after="100" w:afterAutospacing="1"/>
        <w:jc w:val="both"/>
        <w:rPr>
          <w:rFonts w:ascii="Arial" w:eastAsia="Times New Roman" w:hAnsi="Arial" w:cs="Arial"/>
          <w:i/>
          <w:iCs/>
          <w:color w:val="000000" w:themeColor="text1"/>
          <w:sz w:val="22"/>
          <w:szCs w:val="22"/>
          <w:lang w:eastAsia="en-GB"/>
        </w:rPr>
      </w:pPr>
      <w:r w:rsidRPr="0008212D">
        <w:rPr>
          <w:rFonts w:ascii="Arial" w:eastAsia="Times New Roman" w:hAnsi="Arial" w:cs="Arial"/>
          <w:i/>
          <w:iCs/>
          <w:color w:val="000000" w:themeColor="text1"/>
          <w:sz w:val="22"/>
          <w:szCs w:val="22"/>
          <w:lang w:eastAsia="en-GB"/>
        </w:rPr>
        <w:t>I really found your post interesting, especially because you speak from a regulatory perspective in healthcare. You explained the shift from Industry 4.0 to Industry 5.0 in a way that shows it is not just about the new technology, but also about how technology has an impact on people and society. I agree that AI should support professionals instead of replace them in healthcare sector, that reflects the human centred focus described by Metcalf (2024).</w:t>
      </w:r>
      <w:r w:rsidRPr="0008212D">
        <w:rPr>
          <w:rFonts w:ascii="Arial" w:eastAsia="Times New Roman" w:hAnsi="Arial" w:cs="Arial"/>
          <w:i/>
          <w:iCs/>
          <w:color w:val="000000" w:themeColor="text1"/>
          <w:sz w:val="22"/>
          <w:szCs w:val="22"/>
          <w:lang w:eastAsia="en-GB"/>
        </w:rPr>
        <w:br/>
        <w:t>The HSE ransomware attack is a good example that shows how dependent healthcare has become on digital systems. When those systems failed, staff had to go back to manual processes, which delayed care and exposed sensitive data. This demonstrates how Industry 4.0 technologies, while improving efficiency, also create serious vulnerabilities. Besides the technical impact, it also legal, financial and reputational (United States Department of Health and Human Services, 2022).</w:t>
      </w:r>
      <w:r w:rsidRPr="0008212D">
        <w:rPr>
          <w:rFonts w:ascii="Arial" w:eastAsia="Times New Roman" w:hAnsi="Arial" w:cs="Arial"/>
          <w:i/>
          <w:iCs/>
          <w:color w:val="000000" w:themeColor="text1"/>
          <w:sz w:val="22"/>
          <w:szCs w:val="22"/>
          <w:lang w:eastAsia="en-GB"/>
        </w:rPr>
        <w:br/>
        <w:t>I also think you make an important point that Industry 5.0 does not solve cybersecurity problems automatically. As Kour et al. (2024) argue, there is still no clear evidence that Industry 5.0 principles directly improve cybersecurity outcomes. This shows that stronger governance and oversight are still necessary.</w:t>
      </w:r>
      <w:r w:rsidRPr="0008212D">
        <w:rPr>
          <w:rFonts w:ascii="Arial" w:eastAsia="Times New Roman" w:hAnsi="Arial" w:cs="Arial"/>
          <w:i/>
          <w:iCs/>
          <w:color w:val="000000" w:themeColor="text1"/>
          <w:sz w:val="22"/>
          <w:szCs w:val="22"/>
          <w:lang w:eastAsia="en-GB"/>
        </w:rPr>
        <w:br/>
        <w:t>Overall, your post highlights that in healthcare, innovation must go hand in hand with accountability and protection of public trust.</w:t>
      </w:r>
    </w:p>
    <w:p w14:paraId="4B0A7A99" w14:textId="77777777" w:rsidR="0008212D" w:rsidRPr="0008212D" w:rsidRDefault="0008212D" w:rsidP="0008212D">
      <w:pPr>
        <w:shd w:val="clear" w:color="auto" w:fill="FFFFFF"/>
        <w:spacing w:after="100" w:afterAutospacing="1"/>
        <w:jc w:val="both"/>
        <w:rPr>
          <w:rFonts w:ascii="Arial" w:eastAsia="Times New Roman" w:hAnsi="Arial" w:cs="Arial"/>
          <w:i/>
          <w:iCs/>
          <w:color w:val="000000" w:themeColor="text1"/>
          <w:sz w:val="22"/>
          <w:szCs w:val="22"/>
          <w:lang w:eastAsia="en-GB"/>
        </w:rPr>
      </w:pPr>
      <w:r w:rsidRPr="0008212D">
        <w:rPr>
          <w:rFonts w:ascii="Arial" w:eastAsia="Times New Roman" w:hAnsi="Arial" w:cs="Arial"/>
          <w:b/>
          <w:bCs/>
          <w:i/>
          <w:iCs/>
          <w:color w:val="000000" w:themeColor="text1"/>
          <w:sz w:val="22"/>
          <w:szCs w:val="22"/>
          <w:lang w:eastAsia="en-GB"/>
        </w:rPr>
        <w:t>Reference</w:t>
      </w:r>
      <w:r w:rsidRPr="0008212D">
        <w:rPr>
          <w:rFonts w:ascii="Arial" w:eastAsia="Times New Roman" w:hAnsi="Arial" w:cs="Arial"/>
          <w:i/>
          <w:iCs/>
          <w:color w:val="000000" w:themeColor="text1"/>
          <w:sz w:val="22"/>
          <w:szCs w:val="22"/>
          <w:lang w:eastAsia="en-GB"/>
        </w:rPr>
        <w:t>:</w:t>
      </w:r>
    </w:p>
    <w:p w14:paraId="6C0E1D64" w14:textId="77777777" w:rsidR="0008212D" w:rsidRPr="0008212D" w:rsidRDefault="0008212D" w:rsidP="0008212D">
      <w:pPr>
        <w:numPr>
          <w:ilvl w:val="0"/>
          <w:numId w:val="1"/>
        </w:numPr>
        <w:shd w:val="clear" w:color="auto" w:fill="FFFFFF"/>
        <w:spacing w:before="100" w:beforeAutospacing="1" w:after="100" w:afterAutospacing="1"/>
        <w:jc w:val="both"/>
        <w:rPr>
          <w:rFonts w:ascii="Arial" w:eastAsia="Times New Roman" w:hAnsi="Arial" w:cs="Arial"/>
          <w:i/>
          <w:iCs/>
          <w:color w:val="000000" w:themeColor="text1"/>
          <w:sz w:val="22"/>
          <w:szCs w:val="22"/>
          <w:lang w:eastAsia="en-GB"/>
        </w:rPr>
      </w:pPr>
      <w:r w:rsidRPr="0008212D">
        <w:rPr>
          <w:rFonts w:ascii="Arial" w:eastAsia="Times New Roman" w:hAnsi="Arial" w:cs="Arial"/>
          <w:i/>
          <w:iCs/>
          <w:color w:val="000000" w:themeColor="text1"/>
          <w:sz w:val="22"/>
          <w:szCs w:val="22"/>
          <w:lang w:eastAsia="en-GB"/>
        </w:rPr>
        <w:t>Metcalf, G.S. (2024) ‘An introduction to Industry 5.0: history, foundations, and futures’, in Nousala, S., Metcalf, G. and Ing, D. (eds.) Industry 4.0 to Industry 5.0: Explorations in the Transition from a Techno-economic to a Socio-technical Future. Singapore: Springer, pp. 1–29.</w:t>
      </w:r>
    </w:p>
    <w:p w14:paraId="748A6F0D" w14:textId="77777777" w:rsidR="0008212D" w:rsidRPr="0008212D" w:rsidRDefault="0008212D" w:rsidP="0008212D">
      <w:pPr>
        <w:numPr>
          <w:ilvl w:val="0"/>
          <w:numId w:val="1"/>
        </w:numPr>
        <w:shd w:val="clear" w:color="auto" w:fill="FFFFFF"/>
        <w:spacing w:before="100" w:beforeAutospacing="1" w:after="100" w:afterAutospacing="1"/>
        <w:jc w:val="both"/>
        <w:rPr>
          <w:rFonts w:ascii="Arial" w:eastAsia="Times New Roman" w:hAnsi="Arial" w:cs="Arial"/>
          <w:i/>
          <w:iCs/>
          <w:color w:val="000000" w:themeColor="text1"/>
          <w:sz w:val="22"/>
          <w:szCs w:val="22"/>
          <w:lang w:eastAsia="en-GB"/>
        </w:rPr>
      </w:pPr>
      <w:r w:rsidRPr="0008212D">
        <w:rPr>
          <w:rFonts w:ascii="Arial" w:eastAsia="Times New Roman" w:hAnsi="Arial" w:cs="Arial"/>
          <w:i/>
          <w:iCs/>
          <w:color w:val="000000" w:themeColor="text1"/>
          <w:sz w:val="22"/>
          <w:szCs w:val="22"/>
          <w:lang w:eastAsia="en-GB"/>
        </w:rPr>
        <w:t>United States Department of Health and Human Services (2022) Lessons learned from the HSE cyber attack. Washington, DC: U.S. Department of Health and Human Services. Available at: </w:t>
      </w:r>
      <w:hyperlink r:id="rId7" w:history="1">
        <w:r w:rsidRPr="0008212D">
          <w:rPr>
            <w:rFonts w:ascii="Arial" w:eastAsia="Times New Roman" w:hAnsi="Arial" w:cs="Arial"/>
            <w:i/>
            <w:iCs/>
            <w:color w:val="000000" w:themeColor="text1"/>
            <w:sz w:val="22"/>
            <w:szCs w:val="22"/>
            <w:u w:val="single"/>
            <w:lang w:eastAsia="en-GB"/>
          </w:rPr>
          <w:t>https://www.hhs.gov/sites/default/files/lessons-learned-hse-attack.pdf</w:t>
        </w:r>
      </w:hyperlink>
      <w:r w:rsidRPr="0008212D">
        <w:rPr>
          <w:rFonts w:ascii="Arial" w:eastAsia="Times New Roman" w:hAnsi="Arial" w:cs="Arial"/>
          <w:i/>
          <w:iCs/>
          <w:color w:val="000000" w:themeColor="text1"/>
          <w:sz w:val="22"/>
          <w:szCs w:val="22"/>
          <w:lang w:eastAsia="en-GB"/>
        </w:rPr>
        <w:t> (Accessed: 16 February 2026).</w:t>
      </w:r>
    </w:p>
    <w:p w14:paraId="7DD32AF3" w14:textId="77777777" w:rsidR="0008212D" w:rsidRPr="0008212D" w:rsidRDefault="0008212D" w:rsidP="0008212D">
      <w:pPr>
        <w:numPr>
          <w:ilvl w:val="0"/>
          <w:numId w:val="1"/>
        </w:numPr>
        <w:shd w:val="clear" w:color="auto" w:fill="FFFFFF"/>
        <w:spacing w:before="100" w:beforeAutospacing="1" w:after="100" w:afterAutospacing="1"/>
        <w:jc w:val="both"/>
        <w:rPr>
          <w:rFonts w:ascii="Arial" w:eastAsia="Times New Roman" w:hAnsi="Arial" w:cs="Arial"/>
          <w:i/>
          <w:iCs/>
          <w:color w:val="000000" w:themeColor="text1"/>
          <w:sz w:val="22"/>
          <w:szCs w:val="22"/>
          <w:lang w:eastAsia="en-GB"/>
        </w:rPr>
      </w:pPr>
      <w:r w:rsidRPr="0008212D">
        <w:rPr>
          <w:rFonts w:ascii="Arial" w:eastAsia="Times New Roman" w:hAnsi="Arial" w:cs="Arial"/>
          <w:i/>
          <w:iCs/>
          <w:color w:val="000000" w:themeColor="text1"/>
          <w:sz w:val="22"/>
          <w:szCs w:val="22"/>
          <w:lang w:eastAsia="en-GB"/>
        </w:rPr>
        <w:t>Kour, R., Karim, R., Dersin, P. and Venkatesh, N. (2024) ‘Cybersecurity for Industry 5.0: trends and gaps’, Frontiers in Computer Science, 6, 1434436. doi:10.3389/fcomp.2024.1434436.</w:t>
      </w:r>
    </w:p>
    <w:p w14:paraId="4E8A5A47" w14:textId="77777777" w:rsidR="0008212D" w:rsidRPr="0008212D" w:rsidRDefault="0008212D" w:rsidP="0008212D">
      <w:pPr>
        <w:jc w:val="both"/>
        <w:rPr>
          <w:rFonts w:ascii="Arial" w:hAnsi="Arial" w:cs="Arial"/>
          <w:color w:val="000000" w:themeColor="text1"/>
          <w:sz w:val="22"/>
          <w:szCs w:val="22"/>
          <w:lang w:val="en-GB"/>
        </w:rPr>
      </w:pPr>
    </w:p>
    <w:p w14:paraId="0BDF9C33" w14:textId="3B03D859" w:rsidR="0008212D" w:rsidRPr="0008212D" w:rsidRDefault="0008212D" w:rsidP="0008212D">
      <w:pPr>
        <w:jc w:val="both"/>
        <w:rPr>
          <w:rFonts w:ascii="Arial" w:hAnsi="Arial" w:cs="Arial"/>
          <w:b/>
          <w:bCs/>
          <w:color w:val="000000" w:themeColor="text1"/>
          <w:sz w:val="22"/>
          <w:szCs w:val="22"/>
          <w:u w:val="single"/>
          <w:lang w:val="en-GB"/>
        </w:rPr>
      </w:pPr>
      <w:r w:rsidRPr="0008212D">
        <w:rPr>
          <w:rFonts w:ascii="Arial" w:hAnsi="Arial" w:cs="Arial"/>
          <w:b/>
          <w:bCs/>
          <w:color w:val="000000" w:themeColor="text1"/>
          <w:sz w:val="22"/>
          <w:szCs w:val="22"/>
          <w:u w:val="single"/>
          <w:lang w:val="en-GB"/>
        </w:rPr>
        <w:t>My Summary Post</w:t>
      </w:r>
    </w:p>
    <w:p w14:paraId="6384F493" w14:textId="77777777" w:rsidR="0008212D" w:rsidRPr="0008212D" w:rsidRDefault="0008212D" w:rsidP="0008212D">
      <w:pPr>
        <w:jc w:val="both"/>
        <w:rPr>
          <w:rFonts w:ascii="Arial" w:hAnsi="Arial" w:cs="Arial"/>
          <w:color w:val="000000" w:themeColor="text1"/>
          <w:sz w:val="22"/>
          <w:szCs w:val="22"/>
          <w:lang w:val="en-GB"/>
        </w:rPr>
      </w:pPr>
    </w:p>
    <w:p w14:paraId="66E9FD28"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The transition from Industry 4.0 to Industry 5.0 represents more than technological progress; it reflects a shift toward human centred, resilient, and sustainable socio-technical systems where man works together with machine to improve industry and societal well-being (Metcalf, 2024). Industry 4.0 has advanced efficiency and automation through AI, IoT, and interconnected systems. In healthcare, this includes AI-assisted imaging, digital dose monitoring, and telemedicine, thereby improving diagnostic efficiency (Younesi et al., 2026). However, the 2021 Health Service Executive (HSE) ransomware attack highlighted vulnerabilities, in these digital systems, delaying patient care, exposing sensitive data, and undermining public trust (US Department, 2022).</w:t>
      </w:r>
    </w:p>
    <w:p w14:paraId="39A1D7ED"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This was not an isolated incident since peers reported similar disruptions in healthcare, finance, and industry. All had different repercussions, but most had direct societal consequences and affected public trust in these systems.</w:t>
      </w:r>
    </w:p>
    <w:p w14:paraId="10E56442"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 xml:space="preserve">As I mentioned in my initial post, although a paradigm shift to Industry 5.0 is needed, Kour et al. (2024) found no proof that these principles will have a direct impact on cybersecurity, </w:t>
      </w:r>
      <w:r w:rsidRPr="0008212D">
        <w:rPr>
          <w:rFonts w:ascii="Arial" w:eastAsia="Times New Roman" w:hAnsi="Arial" w:cs="Arial"/>
          <w:color w:val="000000" w:themeColor="text1"/>
          <w:sz w:val="22"/>
          <w:szCs w:val="22"/>
          <w:lang w:eastAsia="en-GB"/>
        </w:rPr>
        <w:lastRenderedPageBreak/>
        <w:t>indicating that further research is required in this area. Additionally, peer feedback further highlighted that failures are not always cause by cybersecurity lapses alone. For instance, the Toyota supply chain disruption demonstrated that organisational and architectural weaknesses could halt operations, even when the core technology functions correctly (Toyota Motor Corporation, 2023). These vulnerabilities could potentially be mitigated under an Industry 5.0 framework which emphasises human oversight, resilience, and governance, and organisations should also prepare by aiming to remain operational even during disruptions.</w:t>
      </w:r>
    </w:p>
    <w:p w14:paraId="4B44048E"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Overall, this discussion showed that while Industry 4.0 improved efficiency, automation, and innovation, it also created a vast ocean of consequences which we hope to navigate using Industry 5.0 principles, including integrating technology, governance, and human agency.  There must be close collaboration between government, businesses, and society, prioritising adaptability (Schwab, 2016). AI and automation should enhance, not replace, human decision-making, while organisation and architectural resilience must be designed to anticipate disruptions.</w:t>
      </w:r>
    </w:p>
    <w:p w14:paraId="0B6F877E"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b/>
          <w:bCs/>
          <w:color w:val="000000" w:themeColor="text1"/>
          <w:sz w:val="22"/>
          <w:szCs w:val="22"/>
          <w:u w:val="single"/>
          <w:lang w:eastAsia="en-GB"/>
        </w:rPr>
        <w:t>References</w:t>
      </w:r>
      <w:r w:rsidRPr="0008212D">
        <w:rPr>
          <w:rFonts w:ascii="Arial" w:eastAsia="Times New Roman" w:hAnsi="Arial" w:cs="Arial"/>
          <w:color w:val="000000" w:themeColor="text1"/>
          <w:sz w:val="22"/>
          <w:szCs w:val="22"/>
          <w:lang w:eastAsia="en-GB"/>
        </w:rPr>
        <w:t>:</w:t>
      </w:r>
    </w:p>
    <w:p w14:paraId="50ADA053"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Kour, R. </w:t>
      </w:r>
      <w:r w:rsidRPr="0008212D">
        <w:rPr>
          <w:rFonts w:ascii="Arial" w:eastAsia="Times New Roman" w:hAnsi="Arial" w:cs="Arial"/>
          <w:i/>
          <w:iCs/>
          <w:color w:val="000000" w:themeColor="text1"/>
          <w:sz w:val="22"/>
          <w:szCs w:val="22"/>
          <w:lang w:eastAsia="en-GB"/>
        </w:rPr>
        <w:t>et al.</w:t>
      </w:r>
      <w:r w:rsidRPr="0008212D">
        <w:rPr>
          <w:rFonts w:ascii="Arial" w:eastAsia="Times New Roman" w:hAnsi="Arial" w:cs="Arial"/>
          <w:color w:val="000000" w:themeColor="text1"/>
          <w:sz w:val="22"/>
          <w:szCs w:val="22"/>
          <w:lang w:eastAsia="en-GB"/>
        </w:rPr>
        <w:t> (2024) ‘Cybersecurity for Industry 5.0: Trends and gaps’, </w:t>
      </w:r>
      <w:r w:rsidRPr="0008212D">
        <w:rPr>
          <w:rFonts w:ascii="Arial" w:eastAsia="Times New Roman" w:hAnsi="Arial" w:cs="Arial"/>
          <w:i/>
          <w:iCs/>
          <w:color w:val="000000" w:themeColor="text1"/>
          <w:sz w:val="22"/>
          <w:szCs w:val="22"/>
          <w:lang w:eastAsia="en-GB"/>
        </w:rPr>
        <w:t>Frontiers in Computer Science</w:t>
      </w:r>
      <w:r w:rsidRPr="0008212D">
        <w:rPr>
          <w:rFonts w:ascii="Arial" w:eastAsia="Times New Roman" w:hAnsi="Arial" w:cs="Arial"/>
          <w:color w:val="000000" w:themeColor="text1"/>
          <w:sz w:val="22"/>
          <w:szCs w:val="22"/>
          <w:lang w:eastAsia="en-GB"/>
        </w:rPr>
        <w:t>, 6. doi:10.3389/fcomp.2024.1434436.</w:t>
      </w:r>
    </w:p>
    <w:p w14:paraId="2FEC68CB"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Metcalf, G.S. (2024) ‘An Introduction to Industry 5.0: History, Foundations, and Future’, in </w:t>
      </w:r>
      <w:r w:rsidRPr="0008212D">
        <w:rPr>
          <w:rFonts w:ascii="Arial" w:eastAsia="Times New Roman" w:hAnsi="Arial" w:cs="Arial"/>
          <w:i/>
          <w:iCs/>
          <w:color w:val="000000" w:themeColor="text1"/>
          <w:sz w:val="22"/>
          <w:szCs w:val="22"/>
          <w:lang w:eastAsia="en-GB"/>
        </w:rPr>
        <w:t>Industry 4.0 to Industry 5.0 - Explorations in the Transition from a Techno-economic to a Socio-technical Future</w:t>
      </w:r>
      <w:r w:rsidRPr="0008212D">
        <w:rPr>
          <w:rFonts w:ascii="Arial" w:eastAsia="Times New Roman" w:hAnsi="Arial" w:cs="Arial"/>
          <w:color w:val="000000" w:themeColor="text1"/>
          <w:sz w:val="22"/>
          <w:szCs w:val="22"/>
          <w:lang w:eastAsia="en-GB"/>
        </w:rPr>
        <w:t>. SIngapore: Springer, pp. 1–29.</w:t>
      </w:r>
    </w:p>
    <w:p w14:paraId="1B7D0904"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Schwab, K. (2016) </w:t>
      </w:r>
      <w:r w:rsidRPr="0008212D">
        <w:rPr>
          <w:rFonts w:ascii="Arial" w:eastAsia="Times New Roman" w:hAnsi="Arial" w:cs="Arial"/>
          <w:i/>
          <w:iCs/>
          <w:color w:val="000000" w:themeColor="text1"/>
          <w:sz w:val="22"/>
          <w:szCs w:val="22"/>
          <w:lang w:eastAsia="en-GB"/>
        </w:rPr>
        <w:t>The Fourth Industrial Revolution: What It Means and how to respond</w:t>
      </w:r>
      <w:r w:rsidRPr="0008212D">
        <w:rPr>
          <w:rFonts w:ascii="Arial" w:eastAsia="Times New Roman" w:hAnsi="Arial" w:cs="Arial"/>
          <w:color w:val="000000" w:themeColor="text1"/>
          <w:sz w:val="22"/>
          <w:szCs w:val="22"/>
          <w:lang w:eastAsia="en-GB"/>
        </w:rPr>
        <w:t>, </w:t>
      </w:r>
      <w:r w:rsidRPr="0008212D">
        <w:rPr>
          <w:rFonts w:ascii="Arial" w:eastAsia="Times New Roman" w:hAnsi="Arial" w:cs="Arial"/>
          <w:i/>
          <w:iCs/>
          <w:color w:val="000000" w:themeColor="text1"/>
          <w:sz w:val="22"/>
          <w:szCs w:val="22"/>
          <w:lang w:eastAsia="en-GB"/>
        </w:rPr>
        <w:t>World Economic Forum</w:t>
      </w:r>
      <w:r w:rsidRPr="0008212D">
        <w:rPr>
          <w:rFonts w:ascii="Arial" w:eastAsia="Times New Roman" w:hAnsi="Arial" w:cs="Arial"/>
          <w:color w:val="000000" w:themeColor="text1"/>
          <w:sz w:val="22"/>
          <w:szCs w:val="22"/>
          <w:lang w:eastAsia="en-GB"/>
        </w:rPr>
        <w:t>. Available at: https://www.weforum.org/stories/2016/01/the-fourth-industrial-revolution-what-it-means-and-how-to-respond/ (Accessed: 20 February 2026).</w:t>
      </w:r>
    </w:p>
    <w:p w14:paraId="26CFAD0E"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Toyota Motor Corporation (2023). </w:t>
      </w:r>
      <w:r w:rsidRPr="0008212D">
        <w:rPr>
          <w:rFonts w:ascii="Arial" w:eastAsia="Times New Roman" w:hAnsi="Arial" w:cs="Arial"/>
          <w:i/>
          <w:iCs/>
          <w:color w:val="000000" w:themeColor="text1"/>
          <w:sz w:val="22"/>
          <w:szCs w:val="22"/>
          <w:lang w:eastAsia="en-GB"/>
        </w:rPr>
        <w:t>Deepening Ties in Difficult Times—1 Year on from Kojima Industries Cyberattack</w:t>
      </w:r>
      <w:r w:rsidRPr="0008212D">
        <w:rPr>
          <w:rFonts w:ascii="Arial" w:eastAsia="Times New Roman" w:hAnsi="Arial" w:cs="Arial"/>
          <w:color w:val="000000" w:themeColor="text1"/>
          <w:sz w:val="22"/>
          <w:szCs w:val="22"/>
          <w:lang w:eastAsia="en-GB"/>
        </w:rPr>
        <w:t>. [online] Toyota Times News. Available at: https://toyotatimes.jp/en/newscast/008.html [Accessed 24 Feb. 2026].</w:t>
      </w:r>
    </w:p>
    <w:p w14:paraId="082EBA52"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United States Department of Health and Human Services (2022) </w:t>
      </w:r>
      <w:r w:rsidRPr="0008212D">
        <w:rPr>
          <w:rFonts w:ascii="Arial" w:eastAsia="Times New Roman" w:hAnsi="Arial" w:cs="Arial"/>
          <w:i/>
          <w:iCs/>
          <w:color w:val="000000" w:themeColor="text1"/>
          <w:sz w:val="22"/>
          <w:szCs w:val="22"/>
          <w:lang w:eastAsia="en-GB"/>
        </w:rPr>
        <w:t>Lessons Learned from the HSE Cyber Attack</w:t>
      </w:r>
      <w:r w:rsidRPr="0008212D">
        <w:rPr>
          <w:rFonts w:ascii="Arial" w:eastAsia="Times New Roman" w:hAnsi="Arial" w:cs="Arial"/>
          <w:color w:val="000000" w:themeColor="text1"/>
          <w:sz w:val="22"/>
          <w:szCs w:val="22"/>
          <w:lang w:eastAsia="en-GB"/>
        </w:rPr>
        <w:t> [Preprint].</w:t>
      </w:r>
    </w:p>
    <w:p w14:paraId="03AE932A"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Younesi, A. </w:t>
      </w:r>
      <w:r w:rsidRPr="0008212D">
        <w:rPr>
          <w:rFonts w:ascii="Arial" w:eastAsia="Times New Roman" w:hAnsi="Arial" w:cs="Arial"/>
          <w:i/>
          <w:iCs/>
          <w:color w:val="000000" w:themeColor="text1"/>
          <w:sz w:val="22"/>
          <w:szCs w:val="22"/>
          <w:lang w:eastAsia="en-GB"/>
        </w:rPr>
        <w:t>et al.</w:t>
      </w:r>
      <w:r w:rsidRPr="0008212D">
        <w:rPr>
          <w:rFonts w:ascii="Arial" w:eastAsia="Times New Roman" w:hAnsi="Arial" w:cs="Arial"/>
          <w:color w:val="000000" w:themeColor="text1"/>
          <w:sz w:val="22"/>
          <w:szCs w:val="22"/>
          <w:lang w:eastAsia="en-GB"/>
        </w:rPr>
        <w:t> (2026) ‘Healthcare 5.0: An industry 5.0 perspective for next-generation medical systems with synergistic integration of IOT, AI, and 6G’, </w:t>
      </w:r>
      <w:r w:rsidRPr="0008212D">
        <w:rPr>
          <w:rFonts w:ascii="Arial" w:eastAsia="Times New Roman" w:hAnsi="Arial" w:cs="Arial"/>
          <w:i/>
          <w:iCs/>
          <w:color w:val="000000" w:themeColor="text1"/>
          <w:sz w:val="22"/>
          <w:szCs w:val="22"/>
          <w:lang w:eastAsia="en-GB"/>
        </w:rPr>
        <w:t>Internet of Things</w:t>
      </w:r>
      <w:r w:rsidRPr="0008212D">
        <w:rPr>
          <w:rFonts w:ascii="Arial" w:eastAsia="Times New Roman" w:hAnsi="Arial" w:cs="Arial"/>
          <w:color w:val="000000" w:themeColor="text1"/>
          <w:sz w:val="22"/>
          <w:szCs w:val="22"/>
          <w:lang w:eastAsia="en-GB"/>
        </w:rPr>
        <w:t>, 35, p. 101815. doi:10.1016/j.iot.2025.101815.</w:t>
      </w:r>
    </w:p>
    <w:p w14:paraId="5B506EA6" w14:textId="16D15355" w:rsidR="0008212D" w:rsidRPr="00FC3557" w:rsidRDefault="00FC3557" w:rsidP="00FC3557">
      <w:pPr>
        <w:jc w:val="both"/>
        <w:rPr>
          <w:rFonts w:ascii="Arial" w:eastAsia="Times New Roman" w:hAnsi="Arial" w:cs="Arial"/>
          <w:b/>
          <w:bCs/>
          <w:i/>
          <w:iCs/>
          <w:color w:val="000000" w:themeColor="text1"/>
          <w:sz w:val="22"/>
          <w:szCs w:val="22"/>
          <w:u w:val="single"/>
          <w:lang w:eastAsia="en-GB"/>
        </w:rPr>
      </w:pPr>
      <w:r w:rsidRPr="00FC3557">
        <w:rPr>
          <w:rFonts w:ascii="Arial" w:eastAsia="Times New Roman" w:hAnsi="Arial" w:cs="Arial"/>
          <w:b/>
          <w:bCs/>
          <w:i/>
          <w:iCs/>
          <w:color w:val="000000" w:themeColor="text1"/>
          <w:sz w:val="22"/>
          <w:szCs w:val="22"/>
          <w:u w:val="single"/>
          <w:lang w:eastAsia="en-GB"/>
        </w:rPr>
        <w:t>Colleague Post No. 1 – Valentine Ofili</w:t>
      </w:r>
    </w:p>
    <w:p w14:paraId="1AAD9A56" w14:textId="77777777" w:rsidR="00FC3557" w:rsidRPr="00FC3557" w:rsidRDefault="00FC3557" w:rsidP="00FC3557">
      <w:pPr>
        <w:jc w:val="both"/>
        <w:rPr>
          <w:rFonts w:ascii="Arial" w:eastAsia="Times New Roman" w:hAnsi="Arial" w:cs="Arial"/>
          <w:b/>
          <w:bCs/>
          <w:i/>
          <w:iCs/>
          <w:color w:val="000000" w:themeColor="text1"/>
          <w:sz w:val="22"/>
          <w:szCs w:val="22"/>
          <w:u w:val="single"/>
          <w:lang w:eastAsia="en-GB"/>
        </w:rPr>
      </w:pPr>
    </w:p>
    <w:p w14:paraId="46BB49C2" w14:textId="77777777"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Industry 4.0 has significantly transformed the financial services sector through the integration of digital technologies such as mobile computing, cloud platforms, data analytics, and high-speed connectivity. A key outcome of this transformation is mobile interconnectedness, which enables banking services to be accessed anywhere and at any time. Customers can now make payments, manage accounts, and access credit via mobile devices without reliance on physical branches, increasing efficiency, convenience, and financial inclusion.</w:t>
      </w:r>
    </w:p>
    <w:p w14:paraId="1A096C39" w14:textId="77777777"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 xml:space="preserve">Metcalf (2024) argues that the value of digitally interconnected systems increases as participation expands, producing strong network effects. In financial services, widespread mobile adoption enhances service reach and responsiveness but also increases systemic </w:t>
      </w:r>
      <w:r w:rsidRPr="00FC3557">
        <w:rPr>
          <w:rFonts w:ascii="Arial" w:eastAsia="Times New Roman" w:hAnsi="Arial" w:cs="Arial"/>
          <w:i/>
          <w:iCs/>
          <w:color w:val="000000" w:themeColor="text1"/>
          <w:sz w:val="22"/>
          <w:szCs w:val="22"/>
          <w:lang w:eastAsia="en-GB"/>
        </w:rPr>
        <w:lastRenderedPageBreak/>
        <w:t>interdependence. As banks, fintech platforms, and payment infrastructures become tightly coupled, failures in one system can rapidly propagate across the network (Metcalf, 2024).</w:t>
      </w:r>
    </w:p>
    <w:p w14:paraId="76898AE4" w14:textId="77777777"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Industry 5.0 builds on Industry 4.0 by introducing a human-centric and resilient perspective, prioritizing trust, sustainability, and ethical system design. In banking, this shifts digital transformation away from efficiency alone towards ensuring reliability, accountability, and societal value. Schwab (2016) emphasizes that technological advancement must be accompanied by appropriate governance to maintain public trust in critical digital systems.</w:t>
      </w:r>
    </w:p>
    <w:p w14:paraId="15A231E9" w14:textId="77777777"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A significant example of information system failure is highlighted by the UK Treasury Committee, which reported more than a month’s worth of IT outages across major UK banks and building societies over a two-year period (UK Parliament Treasury Committee, 2024). These failures prevented customers from accessing funds, making payments, and receiving wages or benefits, disproportionately affecting vulnerable individuals and small businesses.</w:t>
      </w:r>
    </w:p>
    <w:p w14:paraId="0A616C79" w14:textId="77777777"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From an environmental perspective, system failures can increase energy consumption through emergency recovery processes and reliance on backup infrastructure, undermining sustainability objectives. Reputationally, repeated outages erode customer trust, attract regulatory scrutiny, and damage long-term confidence in digital banking services.</w:t>
      </w:r>
    </w:p>
    <w:p w14:paraId="307BFD3F" w14:textId="5D907AB1"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Overall, while Industry 4.0 and Industry 5.0 have enabled unprecedented accessibility and innovation in financial services, increased interconnectedness amplifies the impact of system failures. As demonstrated by Metcalf (2024), this reinforces the need for resilient, human-centered financial systems that balance innovation with reliability and trust.</w:t>
      </w:r>
    </w:p>
    <w:p w14:paraId="1FAF2EDC" w14:textId="77777777" w:rsidR="00FC3557" w:rsidRPr="00FC3557" w:rsidRDefault="00FC3557" w:rsidP="00FC3557">
      <w:pPr>
        <w:shd w:val="clear" w:color="auto" w:fill="FFFFFF"/>
        <w:spacing w:after="100" w:afterAutospacing="1"/>
        <w:jc w:val="both"/>
        <w:rPr>
          <w:rFonts w:ascii="Arial" w:eastAsia="Times New Roman" w:hAnsi="Arial" w:cs="Arial"/>
          <w:b/>
          <w:bCs/>
          <w:i/>
          <w:iCs/>
          <w:color w:val="000000" w:themeColor="text1"/>
          <w:sz w:val="22"/>
          <w:szCs w:val="22"/>
          <w:u w:val="single"/>
          <w:lang w:eastAsia="en-GB"/>
        </w:rPr>
      </w:pPr>
      <w:r w:rsidRPr="00FC3557">
        <w:rPr>
          <w:rFonts w:ascii="Arial" w:eastAsia="Times New Roman" w:hAnsi="Arial" w:cs="Arial"/>
          <w:b/>
          <w:bCs/>
          <w:i/>
          <w:iCs/>
          <w:color w:val="000000" w:themeColor="text1"/>
          <w:sz w:val="22"/>
          <w:szCs w:val="22"/>
          <w:u w:val="single"/>
          <w:lang w:eastAsia="en-GB"/>
        </w:rPr>
        <w:t>References</w:t>
      </w:r>
    </w:p>
    <w:p w14:paraId="1EA560A7" w14:textId="77777777"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Metcalf, L. (2024). Chapter 1, in Industry 4.0 to Industry 5.0 Explorations in the Transition from a Techno-economic to a Socio-technical Future. Singapore: Springer. Available at: </w:t>
      </w:r>
      <w:hyperlink r:id="rId8" w:history="1">
        <w:r w:rsidRPr="00FC3557">
          <w:rPr>
            <w:rFonts w:ascii="Arial" w:eastAsia="Times New Roman" w:hAnsi="Arial" w:cs="Arial"/>
            <w:i/>
            <w:iCs/>
            <w:color w:val="000000" w:themeColor="text1"/>
            <w:sz w:val="22"/>
            <w:szCs w:val="22"/>
            <w:lang w:eastAsia="en-GB"/>
          </w:rPr>
          <w:t>https://link-springer-com.uniessexlib.idm.oclc.org/content/pdf/10.1007/978-981-99-9730-5.pdf</w:t>
        </w:r>
      </w:hyperlink>
    </w:p>
    <w:p w14:paraId="49799905" w14:textId="77777777" w:rsidR="00FC3557" w:rsidRPr="00FC3557" w:rsidRDefault="00FC3557" w:rsidP="00FC3557">
      <w:pPr>
        <w:shd w:val="clear" w:color="auto" w:fill="FFFFFF"/>
        <w:spacing w:after="100" w:afterAutospacing="1"/>
        <w:jc w:val="both"/>
        <w:rPr>
          <w:rFonts w:ascii="Arial" w:eastAsia="Times New Roman" w:hAnsi="Arial" w:cs="Arial"/>
          <w:i/>
          <w:iCs/>
          <w:color w:val="000000" w:themeColor="text1"/>
          <w:sz w:val="22"/>
          <w:szCs w:val="22"/>
          <w:lang w:eastAsia="en-GB"/>
        </w:rPr>
      </w:pPr>
      <w:r w:rsidRPr="00FC3557">
        <w:rPr>
          <w:rFonts w:ascii="Arial" w:eastAsia="Times New Roman" w:hAnsi="Arial" w:cs="Arial"/>
          <w:i/>
          <w:iCs/>
          <w:color w:val="000000" w:themeColor="text1"/>
          <w:sz w:val="22"/>
          <w:szCs w:val="22"/>
          <w:lang w:eastAsia="en-GB"/>
        </w:rPr>
        <w:t>Schwab,K. (2016) ‘The fourth industrial revolution: what it means, how to respond.’ World Economic Forum. Available at: </w:t>
      </w:r>
      <w:hyperlink r:id="rId9" w:history="1">
        <w:r w:rsidRPr="00FC3557">
          <w:rPr>
            <w:rFonts w:ascii="Arial" w:eastAsia="Times New Roman" w:hAnsi="Arial" w:cs="Arial"/>
            <w:i/>
            <w:iCs/>
            <w:color w:val="000000" w:themeColor="text1"/>
            <w:sz w:val="22"/>
            <w:szCs w:val="22"/>
            <w:lang w:eastAsia="en-GB"/>
          </w:rPr>
          <w:t>https://www.weforum.org/stories/2016/01/the-fourth-industrial-revolution-what-it-means-and-how-to-respond/</w:t>
        </w:r>
      </w:hyperlink>
    </w:p>
    <w:p w14:paraId="474C97C0" w14:textId="264B1D0E" w:rsidR="00FC3557" w:rsidRPr="0008212D" w:rsidRDefault="00FC3557" w:rsidP="00FC3557">
      <w:pPr>
        <w:shd w:val="clear" w:color="auto" w:fill="FFFFFF"/>
        <w:jc w:val="both"/>
        <w:rPr>
          <w:rFonts w:ascii="Arial" w:eastAsia="Times New Roman" w:hAnsi="Arial" w:cs="Arial"/>
          <w:color w:val="4C5A73"/>
          <w:lang w:eastAsia="en-GB"/>
        </w:rPr>
      </w:pPr>
      <w:r w:rsidRPr="00FC3557">
        <w:rPr>
          <w:rFonts w:ascii="Arial" w:eastAsia="Times New Roman" w:hAnsi="Arial" w:cs="Arial"/>
          <w:i/>
          <w:iCs/>
          <w:color w:val="000000" w:themeColor="text1"/>
          <w:sz w:val="22"/>
          <w:szCs w:val="22"/>
          <w:lang w:eastAsia="en-GB"/>
        </w:rPr>
        <w:t>The UK Parliament Treasury Committee (2024) more than one month’s worth of IT failures at major banks and building societies in the last two years. Available at: </w:t>
      </w:r>
      <w:hyperlink r:id="rId10" w:history="1">
        <w:r w:rsidRPr="00FC3557">
          <w:rPr>
            <w:rFonts w:ascii="Arial" w:eastAsia="Times New Roman" w:hAnsi="Arial" w:cs="Arial"/>
            <w:i/>
            <w:iCs/>
            <w:color w:val="000000" w:themeColor="text1"/>
            <w:sz w:val="22"/>
            <w:szCs w:val="22"/>
            <w:lang w:eastAsia="en-GB"/>
          </w:rPr>
          <w:t>https://committees.parliament.uk/committee/158/treasury-committee/news/205611/more-than-one-months-worth-of-it-failures-at-major-banks-and-building-societies-in-the-last-two-years/</w:t>
        </w:r>
      </w:hyperlink>
      <w:r w:rsidRPr="00FC3557">
        <w:rPr>
          <w:rFonts w:ascii="Arial" w:eastAsia="Times New Roman" w:hAnsi="Arial" w:cs="Arial"/>
          <w:color w:val="4C5A73"/>
          <w:lang w:eastAsia="en-GB"/>
        </w:rPr>
        <w:br/>
      </w:r>
    </w:p>
    <w:p w14:paraId="42839471" w14:textId="77777777" w:rsidR="0008212D" w:rsidRPr="0008212D" w:rsidRDefault="0008212D" w:rsidP="0008212D">
      <w:pPr>
        <w:jc w:val="both"/>
        <w:rPr>
          <w:rFonts w:ascii="Arial" w:hAnsi="Arial" w:cs="Arial"/>
          <w:color w:val="000000" w:themeColor="text1"/>
          <w:sz w:val="22"/>
          <w:szCs w:val="22"/>
          <w:lang w:val="en-GB"/>
        </w:rPr>
      </w:pPr>
    </w:p>
    <w:p w14:paraId="62BFE1B4" w14:textId="40167465" w:rsidR="005738BF" w:rsidRPr="0008212D" w:rsidRDefault="0008212D" w:rsidP="0008212D">
      <w:pPr>
        <w:jc w:val="both"/>
        <w:rPr>
          <w:rFonts w:ascii="Arial" w:hAnsi="Arial" w:cs="Arial"/>
          <w:b/>
          <w:bCs/>
          <w:color w:val="000000" w:themeColor="text1"/>
          <w:sz w:val="22"/>
          <w:szCs w:val="22"/>
          <w:u w:val="single"/>
          <w:lang w:val="en-GB"/>
        </w:rPr>
      </w:pPr>
      <w:r w:rsidRPr="0008212D">
        <w:rPr>
          <w:rFonts w:ascii="Arial" w:hAnsi="Arial" w:cs="Arial"/>
          <w:b/>
          <w:bCs/>
          <w:color w:val="000000" w:themeColor="text1"/>
          <w:sz w:val="22"/>
          <w:szCs w:val="22"/>
          <w:u w:val="single"/>
          <w:lang w:val="en-GB"/>
        </w:rPr>
        <w:t>Peer Response</w:t>
      </w:r>
      <w:r>
        <w:rPr>
          <w:rFonts w:ascii="Arial" w:hAnsi="Arial" w:cs="Arial"/>
          <w:b/>
          <w:bCs/>
          <w:color w:val="000000" w:themeColor="text1"/>
          <w:sz w:val="22"/>
          <w:szCs w:val="22"/>
          <w:u w:val="single"/>
          <w:lang w:val="en-GB"/>
        </w:rPr>
        <w:t xml:space="preserve"> to Colleagues</w:t>
      </w:r>
      <w:r w:rsidRPr="0008212D">
        <w:rPr>
          <w:rFonts w:ascii="Arial" w:hAnsi="Arial" w:cs="Arial"/>
          <w:b/>
          <w:bCs/>
          <w:color w:val="000000" w:themeColor="text1"/>
          <w:sz w:val="22"/>
          <w:szCs w:val="22"/>
          <w:u w:val="single"/>
          <w:lang w:val="en-GB"/>
        </w:rPr>
        <w:t xml:space="preserve"> No.1</w:t>
      </w:r>
    </w:p>
    <w:p w14:paraId="6289D35E" w14:textId="77777777" w:rsidR="0008212D" w:rsidRPr="0008212D" w:rsidRDefault="0008212D" w:rsidP="0008212D">
      <w:pPr>
        <w:jc w:val="both"/>
        <w:rPr>
          <w:rFonts w:ascii="Arial" w:hAnsi="Arial" w:cs="Arial"/>
          <w:color w:val="000000" w:themeColor="text1"/>
          <w:sz w:val="22"/>
          <w:szCs w:val="22"/>
          <w:lang w:val="en-GB"/>
        </w:rPr>
      </w:pPr>
    </w:p>
    <w:p w14:paraId="1EC258A2"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I really appreciate how you highlighted that interconnected systems, whilst having strong network effects are systematically interdependent, meaning that failure in one node can bring down the whole network (Metcalf, 2024).</w:t>
      </w:r>
    </w:p>
    <w:p w14:paraId="20CEFBEC"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Another potential danger is societal trust, or rather the lack thereof. Artificial intelligence is increasingly being used to create falsehoods of humans, videos, and photos. This could even impact the finance industry where one would not be able to trust electronic communication, the currency in their bank account, or exchanging their currency safely. This might even lead to us regressing to local exchanges (Metcalf, 2024).</w:t>
      </w:r>
    </w:p>
    <w:p w14:paraId="3FA341A2"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lastRenderedPageBreak/>
        <w:t>You mention outages preventing individuals from receiving wages or benefits, mostly affecting vulnerable individuals and small business. This goes beyond reputational damage into social harm, disproportionately affecting those most vulnerable.</w:t>
      </w:r>
    </w:p>
    <w:p w14:paraId="7519C6D4"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As Metcalf (2024) stated, various trade-offs have been made for the advancement of technology. I for one am very interested to see how the evolvement of AI will affect us and agree with your point that appropriate governance is needed to maintain public trust in critical digital systems. There needs to be close collaboration between government, businesses, and society, prioritising adaptability (Schwab, 2016).</w:t>
      </w:r>
    </w:p>
    <w:p w14:paraId="78EDB131"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Building on your environment insight, I would also add that Industry 5.0 has the core principle of sustainability, however, as it stands, AI acts as a double-edged sword for sustainability and needs to be increasingly considered in government and new regulations.</w:t>
      </w:r>
    </w:p>
    <w:p w14:paraId="51B3A082" w14:textId="3D27F2E4"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Based on the incidents you mentioned, perhaps the most important mitigation would be to strengthen architectural resilience and use distributing system designs. Again, government and regulators need to act and create new standards and regulations to reinforce public trust</w:t>
      </w:r>
      <w:r>
        <w:rPr>
          <w:rFonts w:ascii="Arial" w:eastAsia="Times New Roman" w:hAnsi="Arial" w:cs="Arial"/>
          <w:color w:val="000000" w:themeColor="text1"/>
          <w:sz w:val="22"/>
          <w:szCs w:val="22"/>
          <w:lang w:eastAsia="en-GB"/>
        </w:rPr>
        <w:t>.</w:t>
      </w:r>
    </w:p>
    <w:p w14:paraId="732170DE" w14:textId="77777777" w:rsidR="0008212D" w:rsidRPr="0008212D" w:rsidRDefault="0008212D" w:rsidP="0008212D">
      <w:pPr>
        <w:jc w:val="both"/>
        <w:rPr>
          <w:rFonts w:ascii="Arial" w:eastAsia="Times New Roman" w:hAnsi="Arial" w:cs="Arial"/>
          <w:color w:val="000000" w:themeColor="text1"/>
          <w:sz w:val="22"/>
          <w:szCs w:val="22"/>
          <w:lang w:eastAsia="en-GB"/>
        </w:rPr>
      </w:pPr>
      <w:r w:rsidRPr="0008212D">
        <w:rPr>
          <w:rFonts w:ascii="Arial" w:eastAsia="Times New Roman" w:hAnsi="Arial" w:cs="Arial"/>
          <w:b/>
          <w:bCs/>
          <w:color w:val="000000" w:themeColor="text1"/>
          <w:sz w:val="22"/>
          <w:szCs w:val="22"/>
          <w:u w:val="single"/>
          <w:shd w:val="clear" w:color="auto" w:fill="FFFFFF"/>
          <w:lang w:eastAsia="en-GB"/>
        </w:rPr>
        <w:t>References</w:t>
      </w:r>
      <w:r w:rsidRPr="0008212D">
        <w:rPr>
          <w:rFonts w:ascii="Arial" w:eastAsia="Times New Roman" w:hAnsi="Arial" w:cs="Arial"/>
          <w:color w:val="000000" w:themeColor="text1"/>
          <w:sz w:val="22"/>
          <w:szCs w:val="22"/>
          <w:shd w:val="clear" w:color="auto" w:fill="FFFFFF"/>
          <w:lang w:eastAsia="en-GB"/>
        </w:rPr>
        <w:t>:</w:t>
      </w:r>
      <w:r w:rsidRPr="0008212D">
        <w:rPr>
          <w:rFonts w:ascii="Arial" w:eastAsia="Times New Roman" w:hAnsi="Arial" w:cs="Arial"/>
          <w:color w:val="000000" w:themeColor="text1"/>
          <w:sz w:val="22"/>
          <w:szCs w:val="22"/>
          <w:lang w:eastAsia="en-GB"/>
        </w:rPr>
        <w:br/>
      </w:r>
      <w:r w:rsidRPr="0008212D">
        <w:rPr>
          <w:rFonts w:ascii="Arial" w:eastAsia="Times New Roman" w:hAnsi="Arial" w:cs="Arial"/>
          <w:color w:val="000000" w:themeColor="text1"/>
          <w:sz w:val="22"/>
          <w:szCs w:val="22"/>
          <w:lang w:eastAsia="en-GB"/>
        </w:rPr>
        <w:br/>
      </w:r>
      <w:r w:rsidRPr="0008212D">
        <w:rPr>
          <w:rFonts w:ascii="Arial" w:eastAsia="Times New Roman" w:hAnsi="Arial" w:cs="Arial"/>
          <w:color w:val="000000" w:themeColor="text1"/>
          <w:sz w:val="22"/>
          <w:szCs w:val="22"/>
          <w:shd w:val="clear" w:color="auto" w:fill="FFFFFF"/>
          <w:lang w:eastAsia="en-GB"/>
        </w:rPr>
        <w:t>Metcalf, G.S. (2024) ‘An Introduction to Industry 5.0: History, Foundations, and Future’, in </w:t>
      </w:r>
      <w:r w:rsidRPr="0008212D">
        <w:rPr>
          <w:rFonts w:ascii="Arial" w:eastAsia="Times New Roman" w:hAnsi="Arial" w:cs="Arial"/>
          <w:i/>
          <w:iCs/>
          <w:color w:val="000000" w:themeColor="text1"/>
          <w:sz w:val="22"/>
          <w:szCs w:val="22"/>
          <w:shd w:val="clear" w:color="auto" w:fill="FFFFFF"/>
          <w:lang w:eastAsia="en-GB"/>
        </w:rPr>
        <w:t>Industry 4.0 to Industry 5.0 - Explorations in the Transition from a Techno-economic to a Socio-technical Future</w:t>
      </w:r>
      <w:r w:rsidRPr="0008212D">
        <w:rPr>
          <w:rFonts w:ascii="Arial" w:eastAsia="Times New Roman" w:hAnsi="Arial" w:cs="Arial"/>
          <w:color w:val="000000" w:themeColor="text1"/>
          <w:sz w:val="22"/>
          <w:szCs w:val="22"/>
          <w:shd w:val="clear" w:color="auto" w:fill="FFFFFF"/>
          <w:lang w:eastAsia="en-GB"/>
        </w:rPr>
        <w:t>. Singapore: Springer, pp. 1–29.</w:t>
      </w:r>
      <w:r w:rsidRPr="0008212D">
        <w:rPr>
          <w:rFonts w:ascii="Arial" w:eastAsia="Times New Roman" w:hAnsi="Arial" w:cs="Arial"/>
          <w:color w:val="000000" w:themeColor="text1"/>
          <w:sz w:val="22"/>
          <w:szCs w:val="22"/>
          <w:lang w:eastAsia="en-GB"/>
        </w:rPr>
        <w:br/>
      </w:r>
      <w:r w:rsidRPr="0008212D">
        <w:rPr>
          <w:rFonts w:ascii="Arial" w:eastAsia="Times New Roman" w:hAnsi="Arial" w:cs="Arial"/>
          <w:color w:val="000000" w:themeColor="text1"/>
          <w:sz w:val="22"/>
          <w:szCs w:val="22"/>
          <w:lang w:eastAsia="en-GB"/>
        </w:rPr>
        <w:br/>
      </w:r>
    </w:p>
    <w:p w14:paraId="64F3E617"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Schwab, K. (2016) </w:t>
      </w:r>
      <w:r w:rsidRPr="0008212D">
        <w:rPr>
          <w:rFonts w:ascii="Arial" w:eastAsia="Times New Roman" w:hAnsi="Arial" w:cs="Arial"/>
          <w:i/>
          <w:iCs/>
          <w:color w:val="000000" w:themeColor="text1"/>
          <w:sz w:val="22"/>
          <w:szCs w:val="22"/>
          <w:lang w:eastAsia="en-GB"/>
        </w:rPr>
        <w:t>The Fourth Industrial Revolution: What It Means and how to respond</w:t>
      </w:r>
      <w:r w:rsidRPr="0008212D">
        <w:rPr>
          <w:rFonts w:ascii="Arial" w:eastAsia="Times New Roman" w:hAnsi="Arial" w:cs="Arial"/>
          <w:color w:val="000000" w:themeColor="text1"/>
          <w:sz w:val="22"/>
          <w:szCs w:val="22"/>
          <w:lang w:eastAsia="en-GB"/>
        </w:rPr>
        <w:t>, </w:t>
      </w:r>
      <w:r w:rsidRPr="0008212D">
        <w:rPr>
          <w:rFonts w:ascii="Arial" w:eastAsia="Times New Roman" w:hAnsi="Arial" w:cs="Arial"/>
          <w:i/>
          <w:iCs/>
          <w:color w:val="000000" w:themeColor="text1"/>
          <w:sz w:val="22"/>
          <w:szCs w:val="22"/>
          <w:lang w:eastAsia="en-GB"/>
        </w:rPr>
        <w:t>World Economic Forum</w:t>
      </w:r>
      <w:r w:rsidRPr="0008212D">
        <w:rPr>
          <w:rFonts w:ascii="Arial" w:eastAsia="Times New Roman" w:hAnsi="Arial" w:cs="Arial"/>
          <w:color w:val="000000" w:themeColor="text1"/>
          <w:sz w:val="22"/>
          <w:szCs w:val="22"/>
          <w:lang w:eastAsia="en-GB"/>
        </w:rPr>
        <w:t>. Available at: https://www.weforum.org/stories/2016/01/the-fourth-industrial-revolution-what-it-means-and-how-to-respond/ (Accessed: 20 February 2026).</w:t>
      </w:r>
    </w:p>
    <w:p w14:paraId="024A78DE" w14:textId="16F8AC88" w:rsidR="0008212D" w:rsidRPr="00FC3557" w:rsidRDefault="00FC3557" w:rsidP="00FC3557">
      <w:pPr>
        <w:jc w:val="both"/>
        <w:rPr>
          <w:rFonts w:ascii="Arial" w:eastAsia="Times New Roman" w:hAnsi="Arial" w:cs="Arial"/>
          <w:b/>
          <w:bCs/>
          <w:i/>
          <w:iCs/>
          <w:color w:val="000000" w:themeColor="text1"/>
          <w:sz w:val="22"/>
          <w:szCs w:val="22"/>
          <w:u w:val="single"/>
          <w:lang w:eastAsia="en-GB"/>
        </w:rPr>
      </w:pPr>
      <w:r w:rsidRPr="00FC3557">
        <w:rPr>
          <w:rFonts w:ascii="Arial" w:eastAsia="Times New Roman" w:hAnsi="Arial" w:cs="Arial"/>
          <w:b/>
          <w:bCs/>
          <w:i/>
          <w:iCs/>
          <w:color w:val="000000" w:themeColor="text1"/>
          <w:sz w:val="22"/>
          <w:szCs w:val="22"/>
          <w:u w:val="single"/>
          <w:lang w:eastAsia="en-GB"/>
        </w:rPr>
        <w:t>Colleague Post No. 2</w:t>
      </w:r>
      <w:r>
        <w:rPr>
          <w:rFonts w:ascii="Arial" w:eastAsia="Times New Roman" w:hAnsi="Arial" w:cs="Arial"/>
          <w:b/>
          <w:bCs/>
          <w:i/>
          <w:iCs/>
          <w:color w:val="000000" w:themeColor="text1"/>
          <w:sz w:val="22"/>
          <w:szCs w:val="22"/>
          <w:u w:val="single"/>
          <w:lang w:eastAsia="en-GB"/>
        </w:rPr>
        <w:t xml:space="preserve"> - IoannaTziouvaka</w:t>
      </w:r>
    </w:p>
    <w:p w14:paraId="54DF663F" w14:textId="77777777" w:rsidR="00FC3557" w:rsidRPr="00FC3557" w:rsidRDefault="00FC3557" w:rsidP="00FC3557">
      <w:pPr>
        <w:jc w:val="both"/>
        <w:rPr>
          <w:rFonts w:ascii="Arial" w:eastAsia="Times New Roman" w:hAnsi="Arial" w:cs="Arial"/>
          <w:i/>
          <w:iCs/>
          <w:color w:val="000000" w:themeColor="text1"/>
          <w:sz w:val="22"/>
          <w:szCs w:val="22"/>
          <w:lang w:eastAsia="en-GB"/>
        </w:rPr>
      </w:pPr>
    </w:p>
    <w:p w14:paraId="04CB7B72"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Industry 4.0 is described by Metcalf (2024) as a European initiative originating in Germany’s 2011 Industrie 4.0 programme, intended to enhance manufacturing competitiveness through cyber-physical systems. In practice, this has involved the large-scale deployment of machine learning (ML) models across production planning, predictive maintenance, and supply-chain coordination (Krys and Fuest, 2017; Schwab and Zahidi, 2020). While these developments have increased efficiency and responsiveness, they have also intensified manufacturing’s dependence on continuous high-quality data flows and tightly coupled digital infrastructures. The transition toward Industry 5.0 reflects growing recognition that such dependency introduces systemic vulnerabilities which cannot be addressed through technical optimisation alone (Metcalf, 2024).</w:t>
      </w:r>
    </w:p>
    <w:p w14:paraId="0D4B7353"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From a manufacturing perspective, Industry 5.0 reframes ML away from autonomous optimisation and toward systems that remain intelligible, governable and interruptible by human actors. This shift is consistent with the European Commission’s positioning of Industry 5.0 around resilience and human agency rather than further automation (European Commission, 2021), and with wider analyses of how digital transformation reshapes work, skills and risk in industrial systems (Schwab and Zahidi, 2020). For ML-enabled manufacturing, this implies that model performance must be evaluated not only in terms of accuracy or efficiency, but also in terms of how systems behave under data loss, cyber disruption, or organisational stress.</w:t>
      </w:r>
    </w:p>
    <w:p w14:paraId="2293DF64"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lastRenderedPageBreak/>
        <w:t>These issues were evident in 2022 when Toyota Motor Corporation suspended production across all Japanese plants following a cyberattack on supplier Kojima Industries. The attack disrupted data exchanges required for just-in-time scheduling, temporarily disabling ML-supported planning processes. Although Toyota’s core systems were not compromised, the incident demonstrated how optimisation-driven architectures amplify the consequences of failure at peripheral nodes (Reuters, 2022). The production halt resulted in the loss of approximately 13,000 vehicles in a single day, with associated financial impact and delivery delays for customers (Reuters, 2022; Sugiyama, Shiraki and Kelly, 2022). Public reporting also linked the incident to wider concerns about supply-chain vulnerability, suggesting reputational implications beyond the immediate operational loss (Sugiyama, Shiraki and Kelly, 2022).</w:t>
      </w:r>
    </w:p>
    <w:p w14:paraId="1DEDC790"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The incident highlights limitations in current Industry 4.0 design assumptions. Models trained on stable, high-frequency datasets may perform effectively under normal conditions, yet offer limited support when data pipelines are disrupted. The reliance on manual, analogue workarounds during recovery, as reported by Toyota, indicates that human intervention remains essential despite advanced automation (Toyota Motor Corporation, 2023). Industry 5.0, as articulated by Metcalf (2024), provides a framework for addressing this tension by repositioning ML systems as components within broader sociotechnical arrangements, rather than as self-sufficient decision-makers.</w:t>
      </w:r>
    </w:p>
    <w:p w14:paraId="460D96AF"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In this sense, the Toyota incident does not represent a failure of ML as a technique, but rather exposes the organisational and architectural assumptions that accompany its deployment within Industry 4.0 manufacturing systems.</w:t>
      </w:r>
    </w:p>
    <w:p w14:paraId="125A9A55"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 ---</w:t>
      </w:r>
    </w:p>
    <w:p w14:paraId="38DF71CA"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References</w:t>
      </w:r>
    </w:p>
    <w:p w14:paraId="6F1D3416"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European Commission (2021). Industry 5.0 - Towards a sustainable, human-centric and resilient European industry. [online] research-and-innovation.ec.europa.eu. Available at: https://research-and-innovation.ec.europa.eu/knowledge-publications-tools-and-data/publications/all-publications/industry-50-towards-sustainable-human-centric-and-resilient-european-industry_en [Accessed 5 Feb. 2026].</w:t>
      </w:r>
    </w:p>
    <w:p w14:paraId="4E642ACD"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Krys, C. and Fuest, K. (2017). Roland Berger Trend Compendium 2030: Megatrend 5 Dynamictechnology &amp; innovation. [online] Available at: https://t.co/k92FZCneZ8 [Accessed 6 Feb. 2026].</w:t>
      </w:r>
    </w:p>
    <w:p w14:paraId="73CAC938"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Metcalf, G.S. (2024). An Introduction to Industry 5.0: History, Foundations, and Futures. Translational systems sciences, 41, pp.1–29. doi:https://doi.org/10.1007/978-981-99-9730-5_1.</w:t>
      </w:r>
    </w:p>
    <w:p w14:paraId="459665E0"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Reuters (2022). Toyota suspends domestic factory operations after suspected cyber attack. Reuters. [online] 28 Feb. Available at: https://www.reuters.com/business/autos-transportation/toyota-suspends-all-domestic-factory-operations-after-suspected-cyber-attack-2022-02-28/ [Accessed 6 Feb. 2026].</w:t>
      </w:r>
    </w:p>
    <w:p w14:paraId="35CF17DE"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Schwab, K. and Zahidi, S. (2020). The Future of Jobs. [online] Available at: https://www3.weforum.org/docs/WEF_Future_of_Jobs_2020.pdf [Accessed 6 Feb. 2026].</w:t>
      </w:r>
    </w:p>
    <w:p w14:paraId="64D38327"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 xml:space="preserve">Sugiyama, S., Shiraki, M. and Kelly, T. (2022). Toyota to restart Japan production after cyberattack on supplier. Reuters. [online] 1 Mar. Available at: </w:t>
      </w:r>
      <w:r w:rsidRPr="00FC3557">
        <w:rPr>
          <w:rFonts w:ascii="Arial" w:hAnsi="Arial" w:cs="Arial"/>
          <w:i/>
          <w:iCs/>
          <w:color w:val="000000" w:themeColor="text1"/>
          <w:sz w:val="22"/>
          <w:szCs w:val="22"/>
        </w:rPr>
        <w:lastRenderedPageBreak/>
        <w:t>https://www.reuters.com/markets/stocks/toyota-shares-fall-after-domestic-factory-suspension-2022-03-01/ [Accessed 6 Feb. 2026].</w:t>
      </w:r>
    </w:p>
    <w:p w14:paraId="215B5167" w14:textId="77777777" w:rsidR="00FC3557" w:rsidRPr="00FC3557" w:rsidRDefault="00FC3557" w:rsidP="00FC3557">
      <w:pPr>
        <w:pStyle w:val="NormalWeb"/>
        <w:shd w:val="clear" w:color="auto" w:fill="FFFFFF"/>
        <w:spacing w:before="0" w:beforeAutospacing="0"/>
        <w:jc w:val="both"/>
        <w:rPr>
          <w:rFonts w:ascii="Arial" w:hAnsi="Arial" w:cs="Arial"/>
          <w:i/>
          <w:iCs/>
          <w:color w:val="000000" w:themeColor="text1"/>
          <w:sz w:val="22"/>
          <w:szCs w:val="22"/>
        </w:rPr>
      </w:pPr>
      <w:r w:rsidRPr="00FC3557">
        <w:rPr>
          <w:rFonts w:ascii="Arial" w:hAnsi="Arial" w:cs="Arial"/>
          <w:i/>
          <w:iCs/>
          <w:color w:val="000000" w:themeColor="text1"/>
          <w:sz w:val="22"/>
          <w:szCs w:val="22"/>
        </w:rPr>
        <w:t>Toyota Motor Corporation (2023). Deepening Ties in Difficult Times—1 Year on from Kojima Industries Cyberattack. [online] Toyota Times News. Available at: https://toyotatimes.jp/en/newscast/008.html [Accessed 6 Feb. 2026].</w:t>
      </w:r>
    </w:p>
    <w:p w14:paraId="6F768C45" w14:textId="77777777" w:rsidR="00FC3557" w:rsidRPr="0008212D" w:rsidRDefault="00FC3557" w:rsidP="0008212D">
      <w:pPr>
        <w:jc w:val="both"/>
        <w:rPr>
          <w:rFonts w:ascii="Arial" w:hAnsi="Arial" w:cs="Arial"/>
          <w:color w:val="000000" w:themeColor="text1"/>
          <w:sz w:val="22"/>
          <w:szCs w:val="22"/>
          <w:lang w:val="en-GB"/>
        </w:rPr>
      </w:pPr>
    </w:p>
    <w:p w14:paraId="515371CD" w14:textId="6A334FFD" w:rsidR="0008212D" w:rsidRPr="0008212D" w:rsidRDefault="0008212D" w:rsidP="0008212D">
      <w:pPr>
        <w:jc w:val="both"/>
        <w:rPr>
          <w:rFonts w:ascii="Arial" w:hAnsi="Arial" w:cs="Arial"/>
          <w:b/>
          <w:bCs/>
          <w:color w:val="000000" w:themeColor="text1"/>
          <w:sz w:val="22"/>
          <w:szCs w:val="22"/>
          <w:u w:val="single"/>
          <w:lang w:val="en-GB"/>
        </w:rPr>
      </w:pPr>
      <w:r w:rsidRPr="0008212D">
        <w:rPr>
          <w:rFonts w:ascii="Arial" w:hAnsi="Arial" w:cs="Arial"/>
          <w:b/>
          <w:bCs/>
          <w:color w:val="000000" w:themeColor="text1"/>
          <w:sz w:val="22"/>
          <w:szCs w:val="22"/>
          <w:u w:val="single"/>
          <w:lang w:val="en-GB"/>
        </w:rPr>
        <w:t>Peer Response to Colleagues No. 2</w:t>
      </w:r>
    </w:p>
    <w:p w14:paraId="4C677FCE" w14:textId="77777777" w:rsidR="0008212D" w:rsidRPr="0008212D" w:rsidRDefault="0008212D" w:rsidP="0008212D">
      <w:pPr>
        <w:jc w:val="both"/>
        <w:rPr>
          <w:rFonts w:ascii="Arial" w:hAnsi="Arial" w:cs="Arial"/>
          <w:color w:val="000000" w:themeColor="text1"/>
          <w:sz w:val="22"/>
          <w:szCs w:val="22"/>
          <w:lang w:val="en-GB"/>
        </w:rPr>
      </w:pPr>
    </w:p>
    <w:p w14:paraId="6FD3F7B3"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Your post makes a very strong distinction between ML as a technical capability and the organisational assumptions surrounding its deployment. I particularly agree with your point that the Toyota incident exposed architectural fragility rather than a failure of the ML technique in itself. This incident highlights how peripheral failures can halt core operations.</w:t>
      </w:r>
    </w:p>
    <w:p w14:paraId="31D26FF6"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Whilst this incident affected people in financial loss and delivery delays, having consequences which were largely economic and temporary, there are various other incidents which our colleagues mentioned that had much more serious repercussions and translated into direct societal and human harm. I researched incidents in healthcare, where various cyberattacks came up that were detrimental to people’s health, including the 2021 Health Service Executive ransomware attack (US Department, 2022). Other areas that have experienced similar attacks include banks, also heavily impacted people’s lives by having missed wages and benefits (UK Parliament Treasury Committee, 2024).</w:t>
      </w:r>
    </w:p>
    <w:p w14:paraId="711DF36D"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These examples illustrate that the risks associated with Industry 4.0 extend beyond financial performance metrics and failures can propagate across technical, organisational, and social layers. This comparison strengthens the argument that Industry 5.0’s emphasis on resilience, human oversight, and ethical governance is not optional.</w:t>
      </w:r>
    </w:p>
    <w:p w14:paraId="25108C3E"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Across sectors, a key preventive measure is governance reform, clear incident reporting requirements, and tighter regulations which align with Industry 5.0 principles. Organisations should also prepare their services, aiming to remain operational even during disruptions.</w:t>
      </w:r>
    </w:p>
    <w:p w14:paraId="06E0F2BB"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b/>
          <w:bCs/>
          <w:color w:val="000000" w:themeColor="text1"/>
          <w:sz w:val="22"/>
          <w:szCs w:val="22"/>
          <w:u w:val="single"/>
          <w:lang w:eastAsia="en-GB"/>
        </w:rPr>
        <w:t>References</w:t>
      </w:r>
      <w:r w:rsidRPr="0008212D">
        <w:rPr>
          <w:rFonts w:ascii="Arial" w:eastAsia="Times New Roman" w:hAnsi="Arial" w:cs="Arial"/>
          <w:color w:val="000000" w:themeColor="text1"/>
          <w:sz w:val="22"/>
          <w:szCs w:val="22"/>
          <w:lang w:eastAsia="en-GB"/>
        </w:rPr>
        <w:t>:</w:t>
      </w:r>
    </w:p>
    <w:p w14:paraId="7ECC98FE"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i/>
          <w:iCs/>
          <w:color w:val="000000" w:themeColor="text1"/>
          <w:sz w:val="22"/>
          <w:szCs w:val="22"/>
          <w:lang w:eastAsia="en-GB"/>
        </w:rPr>
        <w:t>Industry 5.0: What it is, requirements, incentives and benefits for companies</w:t>
      </w:r>
      <w:r w:rsidRPr="0008212D">
        <w:rPr>
          <w:rFonts w:ascii="Arial" w:eastAsia="Times New Roman" w:hAnsi="Arial" w:cs="Arial"/>
          <w:color w:val="000000" w:themeColor="text1"/>
          <w:sz w:val="22"/>
          <w:szCs w:val="22"/>
          <w:lang w:eastAsia="en-GB"/>
        </w:rPr>
        <w:t> (2024) </w:t>
      </w:r>
      <w:r w:rsidRPr="0008212D">
        <w:rPr>
          <w:rFonts w:ascii="Arial" w:eastAsia="Times New Roman" w:hAnsi="Arial" w:cs="Arial"/>
          <w:i/>
          <w:iCs/>
          <w:color w:val="000000" w:themeColor="text1"/>
          <w:sz w:val="22"/>
          <w:szCs w:val="22"/>
          <w:lang w:eastAsia="en-GB"/>
        </w:rPr>
        <w:t>Intesa Sanpaolo Innovation Center</w:t>
      </w:r>
      <w:r w:rsidRPr="0008212D">
        <w:rPr>
          <w:rFonts w:ascii="Arial" w:eastAsia="Times New Roman" w:hAnsi="Arial" w:cs="Arial"/>
          <w:color w:val="000000" w:themeColor="text1"/>
          <w:sz w:val="22"/>
          <w:szCs w:val="22"/>
          <w:lang w:eastAsia="en-GB"/>
        </w:rPr>
        <w:t>. Available at: https://www.intesasanpaoloinnovationcenter.com/en/news-and-events/news/2024/12/industry-5-0-what-is-fifth-industrial-revolution/ (Accessed: 20 February 2026).</w:t>
      </w:r>
    </w:p>
    <w:p w14:paraId="0A1636CC"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Metcalf, G.S. (2024) ‘An Introduction to Industry 5.0: History, Foundations, and Future’, in </w:t>
      </w:r>
      <w:r w:rsidRPr="0008212D">
        <w:rPr>
          <w:rFonts w:ascii="Arial" w:eastAsia="Times New Roman" w:hAnsi="Arial" w:cs="Arial"/>
          <w:i/>
          <w:iCs/>
          <w:color w:val="000000" w:themeColor="text1"/>
          <w:sz w:val="22"/>
          <w:szCs w:val="22"/>
          <w:lang w:eastAsia="en-GB"/>
        </w:rPr>
        <w:t>Industry 4.0 to Industry 5.0 - Explorations in the Transition from a Techno-economic to a Socio-technical Future</w:t>
      </w:r>
      <w:r w:rsidRPr="0008212D">
        <w:rPr>
          <w:rFonts w:ascii="Arial" w:eastAsia="Times New Roman" w:hAnsi="Arial" w:cs="Arial"/>
          <w:color w:val="000000" w:themeColor="text1"/>
          <w:sz w:val="22"/>
          <w:szCs w:val="22"/>
          <w:lang w:eastAsia="en-GB"/>
        </w:rPr>
        <w:t>. SIngapore: Springer, pp. 1–29.</w:t>
      </w:r>
    </w:p>
    <w:p w14:paraId="1140E097"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The UK Parliament Treasury Committee (2024) </w:t>
      </w:r>
      <w:r w:rsidRPr="0008212D">
        <w:rPr>
          <w:rFonts w:ascii="Arial" w:eastAsia="Times New Roman" w:hAnsi="Arial" w:cs="Arial"/>
          <w:i/>
          <w:iCs/>
          <w:color w:val="000000" w:themeColor="text1"/>
          <w:sz w:val="22"/>
          <w:szCs w:val="22"/>
          <w:lang w:eastAsia="en-GB"/>
        </w:rPr>
        <w:t>more than one month’s worth of IT failures at major banks and building societies in the last two years</w:t>
      </w:r>
      <w:r w:rsidRPr="0008212D">
        <w:rPr>
          <w:rFonts w:ascii="Arial" w:eastAsia="Times New Roman" w:hAnsi="Arial" w:cs="Arial"/>
          <w:color w:val="000000" w:themeColor="text1"/>
          <w:sz w:val="22"/>
          <w:szCs w:val="22"/>
          <w:lang w:eastAsia="en-GB"/>
        </w:rPr>
        <w:t>. Available at: https://committees.parliament.uk/committee/158/treasury-committee/news/205611/more-than-one-months-worth-of-it-failures-at-major-banks-and-building-societies-in-the-last-two-years/ (Accessed: 20 February 2026)</w:t>
      </w:r>
    </w:p>
    <w:p w14:paraId="00F4C857" w14:textId="77777777" w:rsidR="0008212D" w:rsidRPr="0008212D" w:rsidRDefault="0008212D" w:rsidP="0008212D">
      <w:pPr>
        <w:shd w:val="clear" w:color="auto" w:fill="FFFFFF"/>
        <w:spacing w:after="100" w:afterAutospacing="1"/>
        <w:jc w:val="both"/>
        <w:rPr>
          <w:rFonts w:ascii="Arial" w:eastAsia="Times New Roman" w:hAnsi="Arial" w:cs="Arial"/>
          <w:color w:val="000000" w:themeColor="text1"/>
          <w:sz w:val="22"/>
          <w:szCs w:val="22"/>
          <w:lang w:eastAsia="en-GB"/>
        </w:rPr>
      </w:pPr>
      <w:r w:rsidRPr="0008212D">
        <w:rPr>
          <w:rFonts w:ascii="Arial" w:eastAsia="Times New Roman" w:hAnsi="Arial" w:cs="Arial"/>
          <w:color w:val="000000" w:themeColor="text1"/>
          <w:sz w:val="22"/>
          <w:szCs w:val="22"/>
          <w:lang w:eastAsia="en-GB"/>
        </w:rPr>
        <w:t>United States Department of Health and Human Services (2022) </w:t>
      </w:r>
      <w:r w:rsidRPr="0008212D">
        <w:rPr>
          <w:rFonts w:ascii="Arial" w:eastAsia="Times New Roman" w:hAnsi="Arial" w:cs="Arial"/>
          <w:i/>
          <w:iCs/>
          <w:color w:val="000000" w:themeColor="text1"/>
          <w:sz w:val="22"/>
          <w:szCs w:val="22"/>
          <w:lang w:eastAsia="en-GB"/>
        </w:rPr>
        <w:t>Lessons Learned from the HSE Cyber Attack</w:t>
      </w:r>
      <w:r w:rsidRPr="0008212D">
        <w:rPr>
          <w:rFonts w:ascii="Arial" w:eastAsia="Times New Roman" w:hAnsi="Arial" w:cs="Arial"/>
          <w:color w:val="000000" w:themeColor="text1"/>
          <w:sz w:val="22"/>
          <w:szCs w:val="22"/>
          <w:lang w:eastAsia="en-GB"/>
        </w:rPr>
        <w:t> [Powerpoint].</w:t>
      </w:r>
    </w:p>
    <w:p w14:paraId="49B67005" w14:textId="77777777" w:rsidR="0008212D" w:rsidRPr="0008212D" w:rsidRDefault="0008212D" w:rsidP="0008212D">
      <w:pPr>
        <w:jc w:val="both"/>
        <w:rPr>
          <w:rFonts w:ascii="Arial" w:eastAsia="Times New Roman" w:hAnsi="Arial" w:cs="Arial"/>
          <w:color w:val="000000" w:themeColor="text1"/>
          <w:sz w:val="22"/>
          <w:szCs w:val="22"/>
          <w:lang w:eastAsia="en-GB"/>
        </w:rPr>
      </w:pPr>
    </w:p>
    <w:p w14:paraId="1DF9B20C" w14:textId="77777777" w:rsidR="0008212D" w:rsidRPr="0008212D" w:rsidRDefault="0008212D" w:rsidP="0008212D">
      <w:pPr>
        <w:jc w:val="both"/>
        <w:rPr>
          <w:rFonts w:ascii="Arial" w:hAnsi="Arial" w:cs="Arial"/>
          <w:color w:val="000000" w:themeColor="text1"/>
          <w:sz w:val="22"/>
          <w:szCs w:val="22"/>
          <w:lang w:val="en-GB"/>
        </w:rPr>
      </w:pPr>
    </w:p>
    <w:p w14:paraId="1AF2334F" w14:textId="77777777" w:rsidR="0008212D" w:rsidRPr="0008212D" w:rsidRDefault="0008212D" w:rsidP="0008212D">
      <w:pPr>
        <w:jc w:val="both"/>
        <w:rPr>
          <w:rFonts w:ascii="Arial" w:hAnsi="Arial" w:cs="Arial"/>
          <w:color w:val="000000" w:themeColor="text1"/>
          <w:sz w:val="22"/>
          <w:szCs w:val="22"/>
          <w:lang w:val="en-GB"/>
        </w:rPr>
      </w:pPr>
    </w:p>
    <w:sectPr w:rsidR="0008212D" w:rsidRPr="0008212D">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8A73" w14:textId="77777777" w:rsidR="009062E0" w:rsidRDefault="009062E0" w:rsidP="0008212D">
      <w:r>
        <w:separator/>
      </w:r>
    </w:p>
  </w:endnote>
  <w:endnote w:type="continuationSeparator" w:id="0">
    <w:p w14:paraId="37570E31" w14:textId="77777777" w:rsidR="009062E0" w:rsidRDefault="009062E0" w:rsidP="0008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0307906"/>
      <w:docPartObj>
        <w:docPartGallery w:val="Page Numbers (Bottom of Page)"/>
        <w:docPartUnique/>
      </w:docPartObj>
    </w:sdtPr>
    <w:sdtContent>
      <w:p w14:paraId="1C046F72" w14:textId="7A69059B" w:rsidR="0008212D" w:rsidRDefault="0008212D" w:rsidP="0030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5F9403" w14:textId="77777777" w:rsidR="0008212D" w:rsidRDefault="0008212D" w:rsidP="000821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9272352"/>
      <w:docPartObj>
        <w:docPartGallery w:val="Page Numbers (Bottom of Page)"/>
        <w:docPartUnique/>
      </w:docPartObj>
    </w:sdtPr>
    <w:sdtContent>
      <w:p w14:paraId="32F9CEF7" w14:textId="233789FC" w:rsidR="0008212D" w:rsidRDefault="0008212D" w:rsidP="0030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FE9BD22" w14:textId="77777777" w:rsidR="0008212D" w:rsidRDefault="0008212D" w:rsidP="000821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DAD82" w14:textId="77777777" w:rsidR="009062E0" w:rsidRDefault="009062E0" w:rsidP="0008212D">
      <w:r>
        <w:separator/>
      </w:r>
    </w:p>
  </w:footnote>
  <w:footnote w:type="continuationSeparator" w:id="0">
    <w:p w14:paraId="063A53F1" w14:textId="77777777" w:rsidR="009062E0" w:rsidRDefault="009062E0" w:rsidP="00082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6CA8"/>
    <w:multiLevelType w:val="multilevel"/>
    <w:tmpl w:val="621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633B88"/>
    <w:multiLevelType w:val="multilevel"/>
    <w:tmpl w:val="3D1E0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320699">
    <w:abstractNumId w:val="1"/>
  </w:num>
  <w:num w:numId="2" w16cid:durableId="213374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12D"/>
    <w:rsid w:val="0008212D"/>
    <w:rsid w:val="002F6EA8"/>
    <w:rsid w:val="00330E2D"/>
    <w:rsid w:val="00365F22"/>
    <w:rsid w:val="005738BF"/>
    <w:rsid w:val="006D00CB"/>
    <w:rsid w:val="009062E0"/>
    <w:rsid w:val="00E25765"/>
    <w:rsid w:val="00FC3557"/>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328ADCA5"/>
  <w15:chartTrackingRefBased/>
  <w15:docId w15:val="{1456B97E-8B2A-884C-A7B4-7349BC8B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12D"/>
    <w:rPr>
      <w:rFonts w:eastAsiaTheme="majorEastAsia" w:cstheme="majorBidi"/>
      <w:color w:val="272727" w:themeColor="text1" w:themeTint="D8"/>
    </w:rPr>
  </w:style>
  <w:style w:type="paragraph" w:styleId="Title">
    <w:name w:val="Title"/>
    <w:basedOn w:val="Normal"/>
    <w:next w:val="Normal"/>
    <w:link w:val="TitleChar"/>
    <w:uiPriority w:val="10"/>
    <w:qFormat/>
    <w:rsid w:val="000821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1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1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212D"/>
    <w:rPr>
      <w:i/>
      <w:iCs/>
      <w:color w:val="404040" w:themeColor="text1" w:themeTint="BF"/>
    </w:rPr>
  </w:style>
  <w:style w:type="paragraph" w:styleId="ListParagraph">
    <w:name w:val="List Paragraph"/>
    <w:basedOn w:val="Normal"/>
    <w:uiPriority w:val="34"/>
    <w:qFormat/>
    <w:rsid w:val="0008212D"/>
    <w:pPr>
      <w:ind w:left="720"/>
      <w:contextualSpacing/>
    </w:pPr>
  </w:style>
  <w:style w:type="character" w:styleId="IntenseEmphasis">
    <w:name w:val="Intense Emphasis"/>
    <w:basedOn w:val="DefaultParagraphFont"/>
    <w:uiPriority w:val="21"/>
    <w:qFormat/>
    <w:rsid w:val="0008212D"/>
    <w:rPr>
      <w:i/>
      <w:iCs/>
      <w:color w:val="0F4761" w:themeColor="accent1" w:themeShade="BF"/>
    </w:rPr>
  </w:style>
  <w:style w:type="paragraph" w:styleId="IntenseQuote">
    <w:name w:val="Intense Quote"/>
    <w:basedOn w:val="Normal"/>
    <w:next w:val="Normal"/>
    <w:link w:val="IntenseQuoteChar"/>
    <w:uiPriority w:val="30"/>
    <w:qFormat/>
    <w:rsid w:val="00082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12D"/>
    <w:rPr>
      <w:i/>
      <w:iCs/>
      <w:color w:val="0F4761" w:themeColor="accent1" w:themeShade="BF"/>
    </w:rPr>
  </w:style>
  <w:style w:type="character" w:styleId="IntenseReference">
    <w:name w:val="Intense Reference"/>
    <w:basedOn w:val="DefaultParagraphFont"/>
    <w:uiPriority w:val="32"/>
    <w:qFormat/>
    <w:rsid w:val="0008212D"/>
    <w:rPr>
      <w:b/>
      <w:bCs/>
      <w:smallCaps/>
      <w:color w:val="0F4761" w:themeColor="accent1" w:themeShade="BF"/>
      <w:spacing w:val="5"/>
    </w:rPr>
  </w:style>
  <w:style w:type="paragraph" w:styleId="NormalWeb">
    <w:name w:val="Normal (Web)"/>
    <w:basedOn w:val="Normal"/>
    <w:uiPriority w:val="99"/>
    <w:semiHidden/>
    <w:unhideWhenUsed/>
    <w:rsid w:val="0008212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8212D"/>
    <w:rPr>
      <w:b/>
      <w:bCs/>
    </w:rPr>
  </w:style>
  <w:style w:type="character" w:styleId="Emphasis">
    <w:name w:val="Emphasis"/>
    <w:basedOn w:val="DefaultParagraphFont"/>
    <w:uiPriority w:val="20"/>
    <w:qFormat/>
    <w:rsid w:val="0008212D"/>
    <w:rPr>
      <w:i/>
      <w:iCs/>
    </w:rPr>
  </w:style>
  <w:style w:type="character" w:styleId="Hyperlink">
    <w:name w:val="Hyperlink"/>
    <w:basedOn w:val="DefaultParagraphFont"/>
    <w:uiPriority w:val="99"/>
    <w:semiHidden/>
    <w:unhideWhenUsed/>
    <w:rsid w:val="0008212D"/>
    <w:rPr>
      <w:color w:val="0000FF"/>
      <w:u w:val="single"/>
    </w:rPr>
  </w:style>
  <w:style w:type="paragraph" w:customStyle="1" w:styleId="prev-discussion">
    <w:name w:val="prev-discussion"/>
    <w:basedOn w:val="Normal"/>
    <w:rsid w:val="0008212D"/>
    <w:pPr>
      <w:spacing w:before="100" w:beforeAutospacing="1" w:after="100" w:afterAutospacing="1"/>
    </w:pPr>
    <w:rPr>
      <w:rFonts w:ascii="Times New Roman" w:eastAsia="Times New Roman" w:hAnsi="Times New Roman" w:cs="Times New Roman"/>
      <w:lang w:eastAsia="en-GB"/>
    </w:rPr>
  </w:style>
  <w:style w:type="paragraph" w:customStyle="1" w:styleId="next-discussion">
    <w:name w:val="next-discussion"/>
    <w:basedOn w:val="Normal"/>
    <w:rsid w:val="0008212D"/>
    <w:pPr>
      <w:spacing w:before="100" w:beforeAutospacing="1" w:after="100" w:afterAutospacing="1"/>
    </w:pPr>
    <w:rPr>
      <w:rFonts w:ascii="Times New Roman" w:eastAsia="Times New Roman" w:hAnsi="Times New Roman" w:cs="Times New Roman"/>
      <w:lang w:eastAsia="en-GB"/>
    </w:rPr>
  </w:style>
  <w:style w:type="paragraph" w:styleId="Header">
    <w:name w:val="header"/>
    <w:basedOn w:val="Normal"/>
    <w:link w:val="HeaderChar"/>
    <w:uiPriority w:val="99"/>
    <w:unhideWhenUsed/>
    <w:rsid w:val="0008212D"/>
    <w:pPr>
      <w:tabs>
        <w:tab w:val="center" w:pos="4513"/>
        <w:tab w:val="right" w:pos="9026"/>
      </w:tabs>
    </w:pPr>
  </w:style>
  <w:style w:type="character" w:customStyle="1" w:styleId="HeaderChar">
    <w:name w:val="Header Char"/>
    <w:basedOn w:val="DefaultParagraphFont"/>
    <w:link w:val="Header"/>
    <w:uiPriority w:val="99"/>
    <w:rsid w:val="0008212D"/>
  </w:style>
  <w:style w:type="paragraph" w:styleId="Footer">
    <w:name w:val="footer"/>
    <w:basedOn w:val="Normal"/>
    <w:link w:val="FooterChar"/>
    <w:uiPriority w:val="99"/>
    <w:unhideWhenUsed/>
    <w:rsid w:val="0008212D"/>
    <w:pPr>
      <w:tabs>
        <w:tab w:val="center" w:pos="4513"/>
        <w:tab w:val="right" w:pos="9026"/>
      </w:tabs>
    </w:pPr>
  </w:style>
  <w:style w:type="character" w:customStyle="1" w:styleId="FooterChar">
    <w:name w:val="Footer Char"/>
    <w:basedOn w:val="DefaultParagraphFont"/>
    <w:link w:val="Footer"/>
    <w:uiPriority w:val="99"/>
    <w:rsid w:val="0008212D"/>
  </w:style>
  <w:style w:type="character" w:styleId="PageNumber">
    <w:name w:val="page number"/>
    <w:basedOn w:val="DefaultParagraphFont"/>
    <w:uiPriority w:val="99"/>
    <w:semiHidden/>
    <w:unhideWhenUsed/>
    <w:rsid w:val="00082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uniessexlib.idm.oclc.org/content/pdf/10.1007/978-981-99-9730-5.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hs.gov/sites/default/files/lessons-learned-hse-attack.pdf?utm_source=chatgpt.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ommittees.parliament.uk/committee/158/treasury-committee/news/205611/more-than-one-months-worth-of-it-failures-at-major-banks-and-building-societies-in-the-last-two-years/" TargetMode="External"/><Relationship Id="rId4" Type="http://schemas.openxmlformats.org/officeDocument/2006/relationships/webSettings" Target="webSettings.xml"/><Relationship Id="rId9" Type="http://schemas.openxmlformats.org/officeDocument/2006/relationships/hyperlink" Target="https://www.weforum.org/stories/2016/01/the-fourth-industrial-revolution-what-it-means-and-how-to-respon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3514</Words>
  <Characters>20030</Characters>
  <Application>Microsoft Office Word</Application>
  <DocSecurity>0</DocSecurity>
  <Lines>166</Lines>
  <Paragraphs>46</Paragraphs>
  <ScaleCrop>false</ScaleCrop>
  <Company/>
  <LinksUpToDate>false</LinksUpToDate>
  <CharactersWithSpaces>23498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Mizzi</dc:creator>
  <cp:keywords/>
  <dc:description/>
  <cp:lastModifiedBy>Monique Mizzi</cp:lastModifiedBy>
  <cp:revision>2</cp:revision>
  <dcterms:created xsi:type="dcterms:W3CDTF">2026-03-13T19:46:00Z</dcterms:created>
  <dcterms:modified xsi:type="dcterms:W3CDTF">2026-03-13T20:18:00Z</dcterms:modified>
</cp:coreProperties>
</file>