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pStyle w:val="Kicker"/>
        <w:jc w:val="center"/>
      </w:pPr>
      <w:r>
        <w:t>VISION AND STRATEGIC BLUEPRINT</w:t>
      </w:r>
    </w:p>
    <w:p>
      <w:pPr>
        <w:pStyle w:val="Title"/>
        <w:spacing w:after="240"/>
        <w:jc w:val="center"/>
      </w:pPr>
      <w:r>
        <w:rPr>
          <w:rFonts w:ascii="Arial" w:hAnsi="Arial"/>
          <w:b/>
          <w:color w:val="0B1F33"/>
          <w:sz w:val="62"/>
        </w:rPr>
        <w:t>The AI-Native Private Bank</w:t>
      </w:r>
    </w:p>
    <w:p>
      <w:pPr>
        <w:spacing w:after="320"/>
        <w:jc w:val="center"/>
      </w:pPr>
      <w:r>
        <w:rPr>
          <w:rFonts w:ascii="Arial" w:hAnsi="Arial"/>
          <w:b/>
          <w:color w:val="C45A2A"/>
          <w:sz w:val="32"/>
        </w:rPr>
        <w:t>One client. The full firm. Always working.</w:t>
      </w:r>
    </w:p>
    <w:p>
      <w:pPr>
        <w:ind w:left="792" w:right="792"/>
        <w:jc w:val="center"/>
      </w:pPr>
      <w:r>
        <w:rPr>
          <w:rFonts w:ascii="Arial" w:hAnsi="Arial"/>
          <w:b w:val="0"/>
          <w:color w:val="5E6B78"/>
          <w:sz w:val="25"/>
        </w:rPr>
        <w:t>A vision for how J.P. Morgan Private Bank can remember, anticipate, coordinate, act and learn as one.</w:t>
      </w:r>
    </w:p>
    <w:p>
      <w:pPr>
        <w:spacing w:before="600"/>
        <w:jc w:val="center"/>
      </w:pPr>
      <w:r>
        <w:rPr>
          <w:rFonts w:ascii="Arial" w:hAnsi="Arial"/>
          <w:b/>
          <w:color w:val="5E6B78"/>
          <w:sz w:val="19"/>
        </w:rPr>
        <w:t>AUGUST 2026  |  DISCUSSION DRAFT</w:t>
      </w:r>
    </w:p>
    <w:p>
      <w:r>
        <w:br w:type="page"/>
      </w:r>
    </w:p>
    <w:p>
      <w:pPr>
        <w:pStyle w:val="Heading1"/>
      </w:pPr>
      <w:r>
        <w:t>1. THE FRAME</w:t>
      </w:r>
    </w:p>
    <w:p>
      <w:r>
        <w:rPr>
          <w:rFonts w:ascii="Arial" w:hAnsi="Arial"/>
          <w:color w:val="17212B"/>
          <w:sz w:val="21"/>
        </w:rPr>
        <w:t>Private banking has never been short of ideas, products or capital. Its scarce resource has always been expert attention.</w:t>
      </w:r>
    </w:p>
    <w:p>
      <w:r>
        <w:rPr>
          <w:rFonts w:ascii="Arial" w:hAnsi="Arial"/>
          <w:color w:val="17212B"/>
          <w:sz w:val="21"/>
        </w:rPr>
        <w:t>The best answer for a client often exists somewhere in J.P. Morgan. It may sit with a banker who knows the family deeply, an investor with a differentiated market view, a wealth planner who has solved a similar problem, a lender who knows how to structure the opportunity, or an operations professional who knows how to get something done. The challenge is connecting that intelligence to the right relationship, at the right moment, and turning it into action.</w:t>
      </w:r>
    </w:p>
    <w:p>
      <w:r>
        <w:rPr>
          <w:rFonts w:ascii="Arial" w:hAnsi="Arial"/>
          <w:color w:val="17212B"/>
          <w:sz w:val="21"/>
        </w:rPr>
        <w:t>AI changes that constraint. It gives us the ability to capture expertise once, coordinate it continuously and apply it with far greater precision. It can extend the reach of our best people without diminishing their judgment or changing who the client trusts.</w:t>
      </w:r>
    </w:p>
    <w:p>
      <w:pPr>
        <w:spacing w:after="40"/>
      </w:pPr>
      <w:r>
        <w:rPr>
          <w:rFonts w:ascii="Arial" w:hAnsi="Arial"/>
          <w:color w:val="17212B"/>
          <w:sz w:val="21"/>
        </w:rPr>
        <w:t>The north star is simple:</w:t>
      </w:r>
    </w:p>
    <w:p>
      <w:pPr>
        <w:spacing w:before="140" w:after="180" w:line="259" w:lineRule="auto"/>
        <w:ind w:left="173" w:right="144"/>
        <w:shd w:fill="EAF2F8"/>
        <w:pBdr>
          <w:left w:val="single" w:sz="20" w:space="8" w:color="C45A2A"/>
        </w:pBdr>
      </w:pPr>
      <w:r>
        <w:rPr>
          <w:rFonts w:ascii="Arial" w:hAnsi="Arial"/>
          <w:b/>
          <w:color w:val="0B1F33"/>
          <w:sz w:val="25"/>
        </w:rPr>
        <w:t>Every client should feel that the full intelligence of J.P. Morgan is continuously working for them, and every employee should feel that they have a trusted digital team helping them understand, anticipate and act.</w:t>
      </w:r>
    </w:p>
    <w:p>
      <w:r>
        <w:rPr>
          <w:rFonts w:ascii="Arial" w:hAnsi="Arial"/>
          <w:color w:val="17212B"/>
          <w:sz w:val="21"/>
        </w:rPr>
        <w:t>This is not a strategy for adding another chatbot or placing AI inside every application we already have. It is a strategy for redesigning how the Private Bank organizes itself around each client.</w:t>
      </w:r>
    </w:p>
    <w:p>
      <w:r>
        <w:rPr>
          <w:rFonts w:ascii="Arial" w:hAnsi="Arial"/>
          <w:color w:val="17212B"/>
          <w:sz w:val="21"/>
        </w:rPr>
        <w:t>The end state is one intelligence and execution system, with Coach as the orchestrator, the Client Agent as the living memory of each relationship, and our people firmly in control of judgment, advice and trust.</w:t>
      </w:r>
    </w:p>
    <w:p>
      <w:r>
        <w:rPr>
          <w:rFonts w:ascii="Arial" w:hAnsi="Arial"/>
          <w:color w:val="17212B"/>
          <w:sz w:val="21"/>
        </w:rPr>
        <w:t>The experience should be extremely simple even when the capabilities underneath it are extraordinarily powerful. Employees should not need to understand which system, model, agent or dataset can solve a problem. Clients should not need to understand how J.P. Morgan is organized to access the best of J.P. Morgan.</w:t>
      </w:r>
    </w:p>
    <w:p>
      <w:r>
        <w:rPr>
          <w:rFonts w:ascii="Arial" w:hAnsi="Arial"/>
          <w:color w:val="17212B"/>
          <w:sz w:val="21"/>
        </w:rPr>
        <w:t>The human owns the relationship. AI expands what the relationship team can see, remember, prepare and accomplish.</w:t>
      </w:r>
    </w:p>
    <w:p>
      <w:pPr>
        <w:pStyle w:val="Heading1"/>
      </w:pPr>
      <w:r>
        <w:t>2. THE FLAGSHIP EXPERIENCE: THE SMARTEST ROOM IN PRIVATE BANKING</w:t>
      </w:r>
    </w:p>
    <w:p>
      <w:r>
        <w:rPr>
          <w:rFonts w:ascii="Arial" w:hAnsi="Arial"/>
          <w:color w:val="17212B"/>
          <w:sz w:val="21"/>
        </w:rPr>
        <w:t>The clearest way to make this vision tangible is the client meeting.</w:t>
      </w:r>
    </w:p>
    <w:p>
      <w:r>
        <w:rPr>
          <w:rFonts w:ascii="Arial" w:hAnsi="Arial"/>
          <w:color w:val="17212B"/>
          <w:sz w:val="21"/>
        </w:rPr>
        <w:t>Clients come into our offices for decisions that are important, complex and often deeply personal. They may be considering the sale of a business, transferring wealth to the next generation, financing a major purchase, changing the risk in a portfolio, creating a philanthropic plan, or bringing several members of a family into one conversation.</w:t>
      </w:r>
    </w:p>
    <w:p>
      <w:r>
        <w:rPr>
          <w:rFonts w:ascii="Arial" w:hAnsi="Arial"/>
          <w:color w:val="17212B"/>
          <w:sz w:val="21"/>
        </w:rPr>
        <w:t>These moments require more than information. They require judgment, trust and confidence that the right people across J.P. Morgan are thinking with the client.</w:t>
      </w:r>
    </w:p>
    <w:p>
      <w:r>
        <w:rPr>
          <w:rFonts w:ascii="Arial" w:hAnsi="Arial"/>
          <w:color w:val="17212B"/>
          <w:sz w:val="21"/>
        </w:rPr>
        <w:t>Our ambition should be to create the smartest room in private banking. It should not be a room with a more impressive screen or a chatbot placed at the center of the table. It should be a decision environment in which the banker leads, the client engages naturally, and the full intelligence and execution capability of the firm can be brought into the conversation when it matters.</w:t>
      </w:r>
    </w:p>
    <w:p>
      <w:pPr>
        <w:pStyle w:val="Heading2"/>
      </w:pPr>
      <w:r>
        <w:t>Before the meeting</w:t>
      </w:r>
    </w:p>
    <w:p>
      <w:r>
        <w:rPr>
          <w:rFonts w:ascii="Arial" w:hAnsi="Arial"/>
          <w:color w:val="17212B"/>
          <w:sz w:val="21"/>
        </w:rPr>
        <w:t>The Client Agent prepares the relationship team using the complete, permissioned context of the relationship. It assembles the client’s goals, family and entity structure, portfolio, wealth plan, lending relationships, recent conversations, unresolved questions and outstanding commitments. It identifies what changed since the last meeting and asks the advisor to validate any important assumption that may be uncertain or stale.</w:t>
      </w:r>
    </w:p>
    <w:p>
      <w:r>
        <w:rPr>
          <w:rFonts w:ascii="Arial" w:hAnsi="Arial"/>
          <w:color w:val="17212B"/>
          <w:sz w:val="21"/>
        </w:rPr>
        <w:t>The client can also help shape the agenda in advance by submitting a question, sharing a document or identifying a decision that has become more urgent. Coach can then bring in the relevant investment, lending, planning, business or external expertise and prepare several potential scenarios.</w:t>
      </w:r>
    </w:p>
    <w:p>
      <w:r>
        <w:rPr>
          <w:rFonts w:ascii="Arial" w:hAnsi="Arial"/>
          <w:color w:val="17212B"/>
          <w:sz w:val="21"/>
        </w:rPr>
        <w:t>The meeting begins with the team already aligned. The client does not spend the first part of the discussion repeating information J.P. Morgan should already know.</w:t>
      </w:r>
    </w:p>
    <w:p>
      <w:pPr>
        <w:pStyle w:val="Heading2"/>
      </w:pPr>
      <w:r>
        <w:t>During the meeting</w:t>
      </w:r>
    </w:p>
    <w:p>
      <w:r>
        <w:rPr>
          <w:rFonts w:ascii="Arial" w:hAnsi="Arial"/>
          <w:color w:val="17212B"/>
          <w:sz w:val="21"/>
        </w:rPr>
        <w:t>The banker remains the leader of the relationship. AI does not sit between the banker and the client. It works alongside them, ready to bring the right intelligence into the room when it is useful.</w:t>
      </w:r>
    </w:p>
    <w:p>
      <w:r>
        <w:rPr>
          <w:rFonts w:ascii="Arial" w:hAnsi="Arial"/>
          <w:color w:val="17212B"/>
          <w:sz w:val="21"/>
        </w:rPr>
        <w:t>Imagine a client says, “We are considering selling part of the business next year, but we are concerned about liquidity, income and how much risk we are taking elsewhere.”</w:t>
      </w:r>
    </w:p>
    <w:p>
      <w:r>
        <w:rPr>
          <w:rFonts w:ascii="Arial" w:hAnsi="Arial"/>
          <w:color w:val="17212B"/>
          <w:sz w:val="21"/>
        </w:rPr>
        <w:t>Instead of promising to return several weeks later with a static presentation, the banker can ask Coach to explore the question. With the client’s permission, the room can display the relevant ownership structure, portfolio exposures, liquidity needs and planning assumptions. Approved calculation tools can model transaction, reinvestment, lending and wealth-planning scenarios. The client can change an assumption, ask a question that was not anticipated or explore a different path, and the analysis evolves with the conversation.</w:t>
      </w:r>
    </w:p>
    <w:p>
      <w:r>
        <w:rPr>
          <w:rFonts w:ascii="Arial" w:hAnsi="Arial"/>
          <w:color w:val="17212B"/>
          <w:sz w:val="21"/>
        </w:rPr>
        <w:t>The banker drives. The client watches an idea become analysis in real time.</w:t>
      </w:r>
    </w:p>
    <w:p>
      <w:r>
        <w:rPr>
          <w:rFonts w:ascii="Arial" w:hAnsi="Arial"/>
          <w:color w:val="17212B"/>
          <w:sz w:val="21"/>
        </w:rPr>
        <w:t>If deeper expertise is required, Coach can locate the right specialist anywhere across J.P. Morgan. That person can join virtually, or their approved expertise can be applied through a certified skill or domain agent. The client should not need to know which line of business or organizational unit holds the answer.</w:t>
      </w:r>
    </w:p>
    <w:p>
      <w:r>
        <w:rPr>
          <w:rFonts w:ascii="Arial" w:hAnsi="Arial"/>
          <w:color w:val="17212B"/>
          <w:sz w:val="21"/>
        </w:rPr>
        <w:t>Every material analysis should make its sources, assumptions and limitations visible. The room should distinguish an authoritative calculation, a professional point of view and an AI-generated hypothesis that requires further review. The client and banker should know when AI is active, what information it is using and what will be retained. Either should be able to pause the experience or correct the record.</w:t>
      </w:r>
    </w:p>
    <w:p>
      <w:pPr>
        <w:pStyle w:val="Heading2"/>
      </w:pPr>
      <w:r>
        <w:t>After the meeting</w:t>
      </w:r>
    </w:p>
    <w:p>
      <w:r>
        <w:rPr>
          <w:rFonts w:ascii="Arial" w:hAnsi="Arial"/>
          <w:color w:val="17212B"/>
          <w:sz w:val="21"/>
        </w:rPr>
        <w:t>Before the client leaves, Coach captures the decisions, distinguishes them from ideas that were only discussed, and creates a shared record of commitments. Assists prepare the follow-up work, and approved next steps can be initiated through the Action Center. Each commitment remains visible until it is completed.</w:t>
      </w:r>
    </w:p>
    <w:p>
      <w:r>
        <w:rPr>
          <w:rFonts w:ascii="Arial" w:hAnsi="Arial"/>
          <w:color w:val="17212B"/>
          <w:sz w:val="21"/>
        </w:rPr>
        <w:t>The client receives a secure, personalized recap and a workspace where they can revisit the scenarios, provide missing information and continue the conversation with their banker. The relationship team sees the same action state, with clear ownership and deadlines.</w:t>
      </w:r>
    </w:p>
    <w:p>
      <w:r>
        <w:rPr>
          <w:rFonts w:ascii="Arial" w:hAnsi="Arial"/>
          <w:color w:val="17212B"/>
          <w:sz w:val="21"/>
        </w:rPr>
        <w:t>The office becomes more than a place to meet. It becomes a place where complex decisions can be understood and advanced in a way clients cannot reproduce on their own.</w:t>
      </w:r>
    </w:p>
    <w:p>
      <w:r>
        <w:rPr>
          <w:rFonts w:ascii="Arial" w:hAnsi="Arial"/>
          <w:color w:val="17212B"/>
          <w:sz w:val="21"/>
        </w:rPr>
        <w:t>Compute will become widely available. Trusted client context, J.P. Morgan’s proprietary intelligence, the firm’s best specialists, human judgment and the ability to move safely from conversation to action will not.</w:t>
      </w:r>
    </w:p>
    <w:p>
      <w:r>
        <w:rPr>
          <w:rFonts w:ascii="Arial" w:hAnsi="Arial"/>
          <w:color w:val="17212B"/>
          <w:sz w:val="21"/>
        </w:rPr>
        <w:t>A meeting with J.P. Morgan should feel as if the full intelligence of the firm is in the room, while the human relationship remains unmistakably at the center.</w:t>
      </w:r>
    </w:p>
    <w:p>
      <w:pPr>
        <w:pStyle w:val="Heading1"/>
      </w:pPr>
      <w:r>
        <w:t>3. THE ORGANIZING UNIT: THE CLIENT AGENT</w:t>
      </w:r>
    </w:p>
    <w:p>
      <w:r>
        <w:rPr>
          <w:rFonts w:ascii="Arial" w:hAnsi="Arial"/>
          <w:color w:val="17212B"/>
          <w:sz w:val="21"/>
        </w:rPr>
        <w:t>The smartest room is possible because every client relationship has a living memory.</w:t>
      </w:r>
    </w:p>
    <w:p>
      <w:r>
        <w:rPr>
          <w:rFonts w:ascii="Arial" w:hAnsi="Arial"/>
          <w:color w:val="17212B"/>
          <w:sz w:val="21"/>
        </w:rPr>
        <w:t>At the center of the AI-native Private Bank is a persistent, permissioned Client Agent. It is not a chatbot attached to CRM. It is the memory and coordination layer for the relationship.</w:t>
      </w:r>
    </w:p>
    <w:p>
      <w:pPr>
        <w:pStyle w:val="Heading2"/>
      </w:pPr>
      <w:r>
        <w:t>The living memory</w:t>
      </w:r>
    </w:p>
    <w:p>
      <w:r>
        <w:rPr>
          <w:rFonts w:ascii="Arial" w:hAnsi="Arial"/>
          <w:color w:val="17212B"/>
          <w:sz w:val="21"/>
        </w:rPr>
        <w:t>The Client Agent maintains what the firm is authorized to understand about the client and household. This may include family members, legal entities and trusted external advisors; goals, priorities and preferences; portfolios, liabilities and wealth plans; prior conversations and decisions; open opportunities, unresolved questions and every commitment made by the firm.</w:t>
      </w:r>
    </w:p>
    <w:p>
      <w:r>
        <w:rPr>
          <w:rFonts w:ascii="Arial" w:hAnsi="Arial"/>
          <w:color w:val="17212B"/>
          <w:sz w:val="21"/>
        </w:rPr>
        <w:t>It incorporates new, permitted signals from calls, meetings, email, portfolios, transactions, service activity and market developments. It understands what changed, what may matter and what may require attention. This is not a profile completed during onboarding. It is a continuously maintained understanding of the relationship.</w:t>
      </w:r>
    </w:p>
    <w:p>
      <w:pPr>
        <w:pStyle w:val="Heading2"/>
      </w:pPr>
      <w:r>
        <w:t>The truth layer</w:t>
      </w:r>
    </w:p>
    <w:p>
      <w:r>
        <w:rPr>
          <w:rFonts w:ascii="Arial" w:hAnsi="Arial"/>
          <w:color w:val="17212B"/>
          <w:sz w:val="21"/>
        </w:rPr>
        <w:t>The Client Agent never blends what it knows with how it knows it. Five categories remain distinct:</w:t>
      </w:r>
    </w:p>
    <w:p>
      <w:pPr>
        <w:spacing w:after="80" w:line="269" w:lineRule="auto"/>
        <w:ind w:left="540" w:hanging="271"/>
      </w:pPr>
      <w:r>
        <w:rPr>
          <w:rFonts w:ascii="Arial" w:hAnsi="Arial"/>
          <w:color w:val="17212B"/>
          <w:sz w:val="21"/>
        </w:rPr>
        <w:t xml:space="preserve">1. </w:t>
      </w:r>
      <w:r>
        <w:rPr>
          <w:rFonts w:ascii="Arial" w:hAnsi="Arial"/>
          <w:color w:val="17212B"/>
          <w:sz w:val="21"/>
        </w:rPr>
        <w:t>Facts confirmed by the client or relationship team.</w:t>
      </w:r>
    </w:p>
    <w:p>
      <w:pPr>
        <w:spacing w:after="80" w:line="269" w:lineRule="auto"/>
        <w:ind w:left="540" w:hanging="271"/>
      </w:pPr>
      <w:r>
        <w:rPr>
          <w:rFonts w:ascii="Arial" w:hAnsi="Arial"/>
          <w:color w:val="17212B"/>
          <w:sz w:val="21"/>
        </w:rPr>
        <w:t xml:space="preserve">2. </w:t>
      </w:r>
      <w:r>
        <w:rPr>
          <w:rFonts w:ascii="Arial" w:hAnsi="Arial"/>
          <w:color w:val="17212B"/>
          <w:sz w:val="21"/>
        </w:rPr>
        <w:t>Information obtained from an authoritative system.</w:t>
      </w:r>
    </w:p>
    <w:p>
      <w:pPr>
        <w:spacing w:after="80" w:line="269" w:lineRule="auto"/>
        <w:ind w:left="540" w:hanging="271"/>
      </w:pPr>
      <w:r>
        <w:rPr>
          <w:rFonts w:ascii="Arial" w:hAnsi="Arial"/>
          <w:color w:val="17212B"/>
          <w:sz w:val="21"/>
        </w:rPr>
        <w:t xml:space="preserve">3. </w:t>
      </w:r>
      <w:r>
        <w:rPr>
          <w:rFonts w:ascii="Arial" w:hAnsi="Arial"/>
          <w:color w:val="17212B"/>
          <w:sz w:val="21"/>
        </w:rPr>
        <w:t>Professional judgment entered by an advisor or specialist.</w:t>
      </w:r>
    </w:p>
    <w:p>
      <w:pPr>
        <w:spacing w:after="80" w:line="269" w:lineRule="auto"/>
        <w:ind w:left="540" w:hanging="271"/>
      </w:pPr>
      <w:r>
        <w:rPr>
          <w:rFonts w:ascii="Arial" w:hAnsi="Arial"/>
          <w:color w:val="17212B"/>
          <w:sz w:val="21"/>
        </w:rPr>
        <w:t xml:space="preserve">4. </w:t>
      </w:r>
      <w:r>
        <w:rPr>
          <w:rFonts w:ascii="Arial" w:hAnsi="Arial"/>
          <w:color w:val="17212B"/>
          <w:sz w:val="21"/>
        </w:rPr>
        <w:t>New signals that may be relevant.</w:t>
      </w:r>
    </w:p>
    <w:p>
      <w:pPr>
        <w:spacing w:after="80" w:line="269" w:lineRule="auto"/>
        <w:ind w:left="540" w:hanging="271"/>
      </w:pPr>
      <w:r>
        <w:rPr>
          <w:rFonts w:ascii="Arial" w:hAnsi="Arial"/>
          <w:color w:val="17212B"/>
          <w:sz w:val="21"/>
        </w:rPr>
        <w:t xml:space="preserve">5. </w:t>
      </w:r>
      <w:r>
        <w:rPr>
          <w:rFonts w:ascii="Arial" w:hAnsi="Arial"/>
          <w:color w:val="17212B"/>
          <w:sz w:val="21"/>
        </w:rPr>
        <w:t>AI-generated assumptions that still require validation.</w:t>
      </w:r>
    </w:p>
    <w:p>
      <w:r>
        <w:rPr>
          <w:rFonts w:ascii="Arial" w:hAnsi="Arial"/>
          <w:color w:val="17212B"/>
          <w:sz w:val="21"/>
        </w:rPr>
        <w:t>An inference should never silently become a fact.</w:t>
      </w:r>
    </w:p>
    <w:p>
      <w:r>
        <w:rPr>
          <w:rFonts w:ascii="Arial" w:hAnsi="Arial"/>
          <w:color w:val="17212B"/>
          <w:sz w:val="21"/>
        </w:rPr>
        <w:t>From time to time, the Client Agent can ask the advisor a focused question: “We believe this may be becoming a priority based on these recent conversations. Is that correct?” The advisor can confirm it, correct it or add context. These questions should be selective and easy to answer. The system should interrupt only when validating the assumption could materially improve the relationship or avoid an error.</w:t>
      </w:r>
    </w:p>
    <w:p>
      <w:r>
        <w:rPr>
          <w:rFonts w:ascii="Arial" w:hAnsi="Arial"/>
          <w:color w:val="17212B"/>
          <w:sz w:val="21"/>
        </w:rPr>
        <w:t>Memories also need sources, freshness and expiration. Preferences and priorities can change. An agent that is confidently wrong about a family is worse than no agent at all.</w:t>
      </w:r>
    </w:p>
    <w:p>
      <w:pPr>
        <w:pStyle w:val="Heading2"/>
      </w:pPr>
      <w:r>
        <w:t>The relationship chief of staff</w:t>
      </w:r>
    </w:p>
    <w:p>
      <w:r>
        <w:rPr>
          <w:rFonts w:ascii="Arial" w:hAnsi="Arial"/>
          <w:color w:val="17212B"/>
          <w:sz w:val="21"/>
        </w:rPr>
        <w:t>Investment, planning, lending, service and research agents may all contribute to a relationship, but they should not create separate versions of the client. The Client Agent coordinates them around one shared understanding.</w:t>
      </w:r>
    </w:p>
    <w:p>
      <w:r>
        <w:rPr>
          <w:rFonts w:ascii="Arial" w:hAnsi="Arial"/>
          <w:color w:val="17212B"/>
          <w:sz w:val="21"/>
        </w:rPr>
        <w:t>It maintains one relationship plan, assigns ownership, prevents duplicated or conflicting outreach, and tracks every promise until it is completed. Missed follow-through is a quiet relationship killer. Here, follow-through becomes infrastructure.</w:t>
      </w:r>
    </w:p>
    <w:p>
      <w:pPr>
        <w:spacing w:after="40"/>
      </w:pPr>
      <w:r>
        <w:rPr>
          <w:rFonts w:ascii="Arial" w:hAnsi="Arial"/>
          <w:color w:val="17212B"/>
          <w:sz w:val="21"/>
        </w:rPr>
        <w:t>The principle is:</w:t>
      </w:r>
    </w:p>
    <w:p>
      <w:pPr>
        <w:spacing w:before="140" w:after="180" w:line="259" w:lineRule="auto"/>
        <w:ind w:left="173" w:right="144"/>
        <w:shd w:fill="EAF2F8"/>
        <w:pBdr>
          <w:left w:val="single" w:sz="20" w:space="8" w:color="C45A2A"/>
        </w:pBdr>
      </w:pPr>
      <w:r>
        <w:rPr>
          <w:rFonts w:ascii="Arial" w:hAnsi="Arial"/>
          <w:b/>
          <w:color w:val="0B1F33"/>
          <w:sz w:val="25"/>
        </w:rPr>
        <w:t>One client. One living memory. One coordinated team. One action state.</w:t>
      </w:r>
    </w:p>
    <w:p>
      <w:pPr>
        <w:pStyle w:val="Heading2"/>
      </w:pPr>
      <w:r>
        <w:t>Partitioned by design</w:t>
      </w:r>
    </w:p>
    <w:p>
      <w:r>
        <w:rPr>
          <w:rFonts w:ascii="Arial" w:hAnsi="Arial"/>
          <w:color w:val="17212B"/>
          <w:sz w:val="21"/>
        </w:rPr>
        <w:t>A household is not a single reader. Spouses, children, trustees, beneficiaries, family-office professionals, assistants, attorneys and accountants may each need a different view. Some information may remain advisor-only. Some may be shared with one family member but not another.</w:t>
      </w:r>
    </w:p>
    <w:p>
      <w:r>
        <w:rPr>
          <w:rFonts w:ascii="Arial" w:hAnsi="Arial"/>
          <w:color w:val="17212B"/>
          <w:sz w:val="21"/>
        </w:rPr>
        <w:t>Permissioning must therefore be part of the Client Agent’s design, not a setting added later. Every memory item, action and agent interaction must respect purpose, role, consent and entitlement. Household partitioning should be specified and tested with the same seriousness as other sensitive banking controls.</w:t>
      </w:r>
    </w:p>
    <w:p>
      <w:pPr>
        <w:pStyle w:val="Heading1"/>
      </w:pPr>
      <w:r>
        <w:t>4. COACH AS THE ORCHESTRATOR</w:t>
      </w:r>
    </w:p>
    <w:p>
      <w:r>
        <w:rPr>
          <w:rFonts w:ascii="Arial" w:hAnsi="Arial"/>
          <w:color w:val="17212B"/>
          <w:sz w:val="21"/>
        </w:rPr>
        <w:t>Coach is the front door and orchestrator for this system.</w:t>
      </w:r>
    </w:p>
    <w:p>
      <w:r>
        <w:rPr>
          <w:rFonts w:ascii="Arial" w:hAnsi="Arial"/>
          <w:color w:val="17212B"/>
          <w:sz w:val="21"/>
        </w:rPr>
        <w:t>Coach 2.0 established the multi-agent foundation. It demonstrated that one employee experience could route across multiple data and domain agents, use the right capability for the question and synthesize a useful response. Meeting Prep, Call Assist, debrief, Connect Q&amp;A and early next-best actions established the first building blocks.</w:t>
      </w:r>
    </w:p>
    <w:p>
      <w:r>
        <w:rPr>
          <w:rFonts w:ascii="Arial" w:hAnsi="Arial"/>
          <w:color w:val="17212B"/>
          <w:sz w:val="21"/>
        </w:rPr>
        <w:t>Coach 3.0 strengthens that foundation. It improves routing, reliability, latency and access to client and portfolio data. It extends Coach into email, web information and mobile experiences. Most importantly, it begins the move from answering questions to preparing work through Assists and the Action Center.</w:t>
      </w:r>
    </w:p>
    <w:p>
      <w:r>
        <w:rPr>
          <w:rFonts w:ascii="Arial" w:hAnsi="Arial"/>
          <w:color w:val="17212B"/>
          <w:sz w:val="21"/>
        </w:rPr>
        <w:t>The next evolution is not simply Coach 4.0 as another interface release. It is Coach becoming the orchestration layer for context, expertise, persistent monitoring, prepared work and governed execution.</w:t>
      </w:r>
    </w:p>
    <w:p>
      <w:pPr>
        <w:pStyle w:val="Heading2"/>
      </w:pPr>
      <w:r>
        <w:t>One platform, many surfaces</w:t>
      </w:r>
    </w:p>
    <w:p>
      <w:r>
        <w:rPr>
          <w:rFonts w:ascii="Arial" w:hAnsi="Arial"/>
          <w:color w:val="17212B"/>
          <w:sz w:val="21"/>
        </w:rPr>
        <w:t>The platform should be built once and expressed differently for each person and task:</w:t>
      </w:r>
    </w:p>
    <w:p>
      <w:pPr>
        <w:spacing w:after="80" w:line="269" w:lineRule="auto"/>
        <w:ind w:left="540" w:hanging="271"/>
      </w:pPr>
      <w:r>
        <w:rPr>
          <w:rFonts w:ascii="Arial" w:hAnsi="Arial"/>
          <w:b/>
          <w:color w:val="C45A2A"/>
          <w:sz w:val="21"/>
        </w:rPr>
        <w:t xml:space="preserve">• </w:t>
      </w:r>
      <w:r>
        <w:rPr>
          <w:rFonts w:ascii="Arial" w:hAnsi="Arial"/>
          <w:color w:val="17212B"/>
          <w:sz w:val="21"/>
        </w:rPr>
        <w:t>Coach is the universal command surface for employees.</w:t>
      </w:r>
    </w:p>
    <w:p>
      <w:pPr>
        <w:spacing w:after="80" w:line="269" w:lineRule="auto"/>
        <w:ind w:left="540" w:hanging="271"/>
      </w:pPr>
      <w:r>
        <w:rPr>
          <w:rFonts w:ascii="Arial" w:hAnsi="Arial"/>
          <w:b/>
          <w:color w:val="C45A2A"/>
          <w:sz w:val="21"/>
        </w:rPr>
        <w:t xml:space="preserve">• </w:t>
      </w:r>
      <w:r>
        <w:rPr>
          <w:rFonts w:ascii="Arial" w:hAnsi="Arial"/>
          <w:color w:val="17212B"/>
          <w:sz w:val="21"/>
        </w:rPr>
        <w:t>AI Discover is the proactive attention layer that shows what matters before someone asks.</w:t>
      </w:r>
    </w:p>
    <w:p>
      <w:pPr>
        <w:spacing w:after="80" w:line="269" w:lineRule="auto"/>
        <w:ind w:left="540" w:hanging="271"/>
      </w:pPr>
      <w:r>
        <w:rPr>
          <w:rFonts w:ascii="Arial" w:hAnsi="Arial"/>
          <w:b/>
          <w:color w:val="C45A2A"/>
          <w:sz w:val="21"/>
        </w:rPr>
        <w:t xml:space="preserve">• </w:t>
      </w:r>
      <w:r>
        <w:rPr>
          <w:rFonts w:ascii="Arial" w:hAnsi="Arial"/>
          <w:color w:val="17212B"/>
          <w:sz w:val="21"/>
        </w:rPr>
        <w:t>Playbook AI is the dynamic workspace that creates the analysis, interface or tool required for the moment.</w:t>
      </w:r>
    </w:p>
    <w:p>
      <w:pPr>
        <w:spacing w:after="80" w:line="269" w:lineRule="auto"/>
        <w:ind w:left="540" w:hanging="271"/>
      </w:pPr>
      <w:r>
        <w:rPr>
          <w:rFonts w:ascii="Arial" w:hAnsi="Arial"/>
          <w:b/>
          <w:color w:val="C45A2A"/>
          <w:sz w:val="21"/>
        </w:rPr>
        <w:t xml:space="preserve">• </w:t>
      </w:r>
      <w:r>
        <w:rPr>
          <w:rFonts w:ascii="Arial" w:hAnsi="Arial"/>
          <w:color w:val="17212B"/>
          <w:sz w:val="21"/>
        </w:rPr>
        <w:t>The Client Agent maintains relationship memory and coordinates the relationship.</w:t>
      </w:r>
    </w:p>
    <w:p>
      <w:pPr>
        <w:spacing w:after="80" w:line="269" w:lineRule="auto"/>
        <w:ind w:left="540" w:hanging="271"/>
      </w:pPr>
      <w:r>
        <w:rPr>
          <w:rFonts w:ascii="Arial" w:hAnsi="Arial"/>
          <w:b/>
          <w:color w:val="C45A2A"/>
          <w:sz w:val="21"/>
        </w:rPr>
        <w:t xml:space="preserve">• </w:t>
      </w:r>
      <w:r>
        <w:rPr>
          <w:rFonts w:ascii="Arial" w:hAnsi="Arial"/>
          <w:color w:val="17212B"/>
          <w:sz w:val="21"/>
        </w:rPr>
        <w:t>Hive identifies aggregated patterns across permitted client and market signals.</w:t>
      </w:r>
    </w:p>
    <w:p>
      <w:pPr>
        <w:spacing w:after="80" w:line="269" w:lineRule="auto"/>
        <w:ind w:left="540" w:hanging="271"/>
      </w:pPr>
      <w:r>
        <w:rPr>
          <w:rFonts w:ascii="Arial" w:hAnsi="Arial"/>
          <w:b/>
          <w:color w:val="C45A2A"/>
          <w:sz w:val="21"/>
        </w:rPr>
        <w:t xml:space="preserve">• </w:t>
      </w:r>
      <w:r>
        <w:rPr>
          <w:rFonts w:ascii="Arial" w:hAnsi="Arial"/>
          <w:color w:val="17212B"/>
          <w:sz w:val="21"/>
        </w:rPr>
        <w:t>Skills and domain agents encode approved investment, planning, lending, servicing and other expertise.</w:t>
      </w:r>
    </w:p>
    <w:p>
      <w:pPr>
        <w:spacing w:after="80" w:line="269" w:lineRule="auto"/>
        <w:ind w:left="540" w:hanging="271"/>
      </w:pPr>
      <w:r>
        <w:rPr>
          <w:rFonts w:ascii="Arial" w:hAnsi="Arial"/>
          <w:b/>
          <w:color w:val="C45A2A"/>
          <w:sz w:val="21"/>
        </w:rPr>
        <w:t xml:space="preserve">• </w:t>
      </w:r>
      <w:r>
        <w:rPr>
          <w:rFonts w:ascii="Arial" w:hAnsi="Arial"/>
          <w:color w:val="17212B"/>
          <w:sz w:val="21"/>
        </w:rPr>
        <w:t>Assists prepare work, while the Action Center provides review, approval and execution control.</w:t>
      </w:r>
    </w:p>
    <w:p>
      <w:pPr>
        <w:spacing w:after="80" w:line="269" w:lineRule="auto"/>
        <w:ind w:left="540" w:hanging="271"/>
      </w:pPr>
      <w:r>
        <w:rPr>
          <w:rFonts w:ascii="Arial" w:hAnsi="Arial"/>
          <w:b/>
          <w:color w:val="C45A2A"/>
          <w:sz w:val="21"/>
        </w:rPr>
        <w:t xml:space="preserve">• </w:t>
      </w:r>
      <w:r>
        <w:rPr>
          <w:rFonts w:ascii="Arial" w:hAnsi="Arial"/>
          <w:color w:val="17212B"/>
          <w:sz w:val="21"/>
        </w:rPr>
        <w:t>The Expertise Compiler turns specialist thinking into structured and reusable expertise.</w:t>
      </w:r>
    </w:p>
    <w:p>
      <w:pPr>
        <w:spacing w:after="80" w:line="269" w:lineRule="auto"/>
        <w:ind w:left="540" w:hanging="271"/>
      </w:pPr>
      <w:r>
        <w:rPr>
          <w:rFonts w:ascii="Arial" w:hAnsi="Arial"/>
          <w:b/>
          <w:color w:val="C45A2A"/>
          <w:sz w:val="21"/>
        </w:rPr>
        <w:t xml:space="preserve">• </w:t>
      </w:r>
      <w:r>
        <w:rPr>
          <w:rFonts w:ascii="Arial" w:hAnsi="Arial"/>
          <w:color w:val="17212B"/>
          <w:sz w:val="21"/>
        </w:rPr>
        <w:t>The Foundry is where skills and agents are created, evaluated, versioned and approved.</w:t>
      </w:r>
    </w:p>
    <w:p>
      <w:pPr>
        <w:spacing w:after="80" w:line="269" w:lineRule="auto"/>
        <w:ind w:left="540" w:hanging="271"/>
      </w:pPr>
      <w:r>
        <w:rPr>
          <w:rFonts w:ascii="Arial" w:hAnsi="Arial"/>
          <w:b/>
          <w:color w:val="C45A2A"/>
          <w:sz w:val="21"/>
        </w:rPr>
        <w:t xml:space="preserve">• </w:t>
      </w:r>
      <w:r>
        <w:rPr>
          <w:rFonts w:ascii="Arial" w:hAnsi="Arial"/>
          <w:color w:val="17212B"/>
          <w:sz w:val="21"/>
        </w:rPr>
        <w:t>The event layer allows agents to respond to calls, email, meetings, transactions and market changes.</w:t>
      </w:r>
    </w:p>
    <w:p>
      <w:pPr>
        <w:spacing w:after="80" w:line="269" w:lineRule="auto"/>
        <w:ind w:left="540" w:hanging="271"/>
      </w:pPr>
      <w:r>
        <w:rPr>
          <w:rFonts w:ascii="Arial" w:hAnsi="Arial"/>
          <w:b/>
          <w:color w:val="C45A2A"/>
          <w:sz w:val="21"/>
        </w:rPr>
        <w:t xml:space="preserve">• </w:t>
      </w:r>
      <w:r>
        <w:rPr>
          <w:rFonts w:ascii="Arial" w:hAnsi="Arial"/>
          <w:color w:val="17212B"/>
          <w:sz w:val="21"/>
        </w:rPr>
        <w:t>The commitment ledger remembers every promise.</w:t>
      </w:r>
    </w:p>
    <w:p>
      <w:pPr>
        <w:spacing w:after="80" w:line="269" w:lineRule="auto"/>
        <w:ind w:left="540" w:hanging="271"/>
      </w:pPr>
      <w:r>
        <w:rPr>
          <w:rFonts w:ascii="Arial" w:hAnsi="Arial"/>
          <w:b/>
          <w:color w:val="C45A2A"/>
          <w:sz w:val="21"/>
        </w:rPr>
        <w:t xml:space="preserve">• </w:t>
      </w:r>
      <w:r>
        <w:rPr>
          <w:rFonts w:ascii="Arial" w:hAnsi="Arial"/>
          <w:color w:val="17212B"/>
          <w:sz w:val="21"/>
        </w:rPr>
        <w:t>The attention engine decides what is important enough to surface now.</w:t>
      </w:r>
    </w:p>
    <w:p>
      <w:pPr>
        <w:spacing w:after="80" w:line="269" w:lineRule="auto"/>
        <w:ind w:left="540" w:hanging="271"/>
      </w:pPr>
      <w:r>
        <w:rPr>
          <w:rFonts w:ascii="Arial" w:hAnsi="Arial"/>
          <w:b/>
          <w:color w:val="C45A2A"/>
          <w:sz w:val="21"/>
        </w:rPr>
        <w:t xml:space="preserve">• </w:t>
      </w:r>
      <w:r>
        <w:rPr>
          <w:rFonts w:ascii="Arial" w:hAnsi="Arial"/>
          <w:color w:val="17212B"/>
          <w:sz w:val="21"/>
        </w:rPr>
        <w:t>The outcome engine connects recommendations and actions to what ultimately happened.</w:t>
      </w:r>
    </w:p>
    <w:p>
      <w:pPr>
        <w:spacing w:after="80" w:line="269" w:lineRule="auto"/>
        <w:ind w:left="540" w:hanging="271"/>
      </w:pPr>
      <w:r>
        <w:rPr>
          <w:rFonts w:ascii="Arial" w:hAnsi="Arial"/>
          <w:b/>
          <w:color w:val="C45A2A"/>
          <w:sz w:val="21"/>
        </w:rPr>
        <w:t xml:space="preserve">• </w:t>
      </w:r>
      <w:r>
        <w:rPr>
          <w:rFonts w:ascii="Arial" w:hAnsi="Arial"/>
          <w:color w:val="17212B"/>
          <w:sz w:val="21"/>
        </w:rPr>
        <w:t>The meeting room, mobile experience and client companion are additional surfaces powered by the same orchestrator.</w:t>
      </w:r>
    </w:p>
    <w:p>
      <w:r>
        <w:rPr>
          <w:rFonts w:ascii="Arial" w:hAnsi="Arial"/>
          <w:color w:val="17212B"/>
          <w:sz w:val="21"/>
        </w:rPr>
        <w:t>These are not separate platforms. They are shared capabilities within one system. That discipline prevents many useful ideas from becoming many fragmented products, data models and control frameworks.</w:t>
      </w:r>
    </w:p>
    <w:p>
      <w:pPr>
        <w:pStyle w:val="Heading2"/>
      </w:pPr>
      <w:r>
        <w:t>The six platform capabilities</w:t>
      </w:r>
    </w:p>
    <w:p>
      <w:r>
        <w:rPr>
          <w:rFonts w:ascii="Arial" w:hAnsi="Arial"/>
          <w:color w:val="17212B"/>
          <w:sz w:val="21"/>
        </w:rPr>
        <w:t>The architecture can be understood simply:</w:t>
      </w:r>
    </w:p>
    <w:p>
      <w:r>
        <w:rPr>
          <w:rFonts w:ascii="Arial" w:hAnsi="Arial"/>
          <w:b/>
          <w:color w:val="0B1F33"/>
          <w:sz w:val="21"/>
        </w:rPr>
        <w:t>Sense:</w:t>
      </w:r>
      <w:r>
        <w:rPr>
          <w:rFonts w:ascii="Arial" w:hAnsi="Arial"/>
          <w:color w:val="17212B"/>
          <w:sz w:val="21"/>
        </w:rPr>
        <w:t xml:space="preserve"> events, calls, email, markets, transactions and Hive signals.</w:t>
      </w:r>
    </w:p>
    <w:p>
      <w:r>
        <w:rPr>
          <w:rFonts w:ascii="Arial" w:hAnsi="Arial"/>
          <w:b/>
          <w:color w:val="0B1F33"/>
          <w:sz w:val="21"/>
        </w:rPr>
        <w:t>Understand:</w:t>
      </w:r>
      <w:r>
        <w:rPr>
          <w:rFonts w:ascii="Arial" w:hAnsi="Arial"/>
          <w:color w:val="17212B"/>
          <w:sz w:val="21"/>
        </w:rPr>
        <w:t xml:space="preserve"> the Client Agent, relationship memory and permissioned context.</w:t>
      </w:r>
    </w:p>
    <w:p>
      <w:r>
        <w:rPr>
          <w:rFonts w:ascii="Arial" w:hAnsi="Arial"/>
          <w:b/>
          <w:color w:val="0B1F33"/>
          <w:sz w:val="21"/>
        </w:rPr>
        <w:t>Decide:</w:t>
      </w:r>
      <w:r>
        <w:rPr>
          <w:rFonts w:ascii="Arial" w:hAnsi="Arial"/>
          <w:color w:val="17212B"/>
          <w:sz w:val="21"/>
        </w:rPr>
        <w:t xml:space="preserve"> domain agents, certified skills and the firm’s expertise.</w:t>
      </w:r>
    </w:p>
    <w:p>
      <w:r>
        <w:rPr>
          <w:rFonts w:ascii="Arial" w:hAnsi="Arial"/>
          <w:b/>
          <w:color w:val="0B1F33"/>
          <w:sz w:val="21"/>
        </w:rPr>
        <w:t>Act:</w:t>
      </w:r>
      <w:r>
        <w:rPr>
          <w:rFonts w:ascii="Arial" w:hAnsi="Arial"/>
          <w:color w:val="17212B"/>
          <w:sz w:val="21"/>
        </w:rPr>
        <w:t xml:space="preserve"> Assists, the Action Center, workflows and controlled execution.</w:t>
      </w:r>
    </w:p>
    <w:p>
      <w:r>
        <w:rPr>
          <w:rFonts w:ascii="Arial" w:hAnsi="Arial"/>
          <w:b/>
          <w:color w:val="0B1F33"/>
          <w:sz w:val="21"/>
        </w:rPr>
        <w:t>Learn:</w:t>
      </w:r>
      <w:r>
        <w:rPr>
          <w:rFonts w:ascii="Arial" w:hAnsi="Arial"/>
          <w:color w:val="17212B"/>
          <w:sz w:val="21"/>
        </w:rPr>
        <w:t xml:space="preserve"> outcomes, feedback, simulation and Power Friday.</w:t>
      </w:r>
    </w:p>
    <w:p>
      <w:r>
        <w:rPr>
          <w:rFonts w:ascii="Arial" w:hAnsi="Arial"/>
          <w:b/>
          <w:color w:val="0B1F33"/>
          <w:sz w:val="21"/>
        </w:rPr>
        <w:t>Govern:</w:t>
      </w:r>
      <w:r>
        <w:rPr>
          <w:rFonts w:ascii="Arial" w:hAnsi="Arial"/>
          <w:color w:val="17212B"/>
          <w:sz w:val="21"/>
        </w:rPr>
        <w:t xml:space="preserve"> identity, entitlements, approvals, evaluations, audit and agent controls.</w:t>
      </w:r>
    </w:p>
    <w:p>
      <w:r>
        <w:rPr>
          <w:rFonts w:ascii="Arial" w:hAnsi="Arial"/>
          <w:color w:val="17212B"/>
          <w:sz w:val="21"/>
        </w:rPr>
        <w:t>Underneath all six is one production harness. It loads identity and entitlements, assembles permitted context, routes to an approved skill or agent, restricts tool access, applies the correct judgment gate, records the full trace and captures approvals and edits as feedback.</w:t>
      </w:r>
    </w:p>
    <w:p>
      <w:r>
        <w:rPr>
          <w:rFonts w:ascii="Arial" w:hAnsi="Arial"/>
          <w:color w:val="17212B"/>
          <w:sz w:val="21"/>
        </w:rPr>
        <w:t>Skills are the what, the harness is the how, and the model is the replaceable who. Models are rented. The skill library, relationship context and operating system are ours.</w:t>
      </w:r>
    </w:p>
    <w:p>
      <w:pPr>
        <w:pStyle w:val="Heading1"/>
      </w:pPr>
      <w:r>
        <w:t>5. DIFFERENT EXPERIENCES, ONE SYSTEM</w:t>
      </w:r>
    </w:p>
    <w:p>
      <w:r>
        <w:rPr>
          <w:rFonts w:ascii="Arial" w:hAnsi="Arial"/>
          <w:color w:val="17212B"/>
          <w:sz w:val="21"/>
        </w:rPr>
        <w:t>The platform adapts to the user and task. It should not permanently divide employees into top performers and everyone else. The same person may want complete command in one situation and more guidance in another.</w:t>
      </w:r>
    </w:p>
    <w:p>
      <w:pPr>
        <w:pStyle w:val="Heading2"/>
      </w:pPr>
      <w:r>
        <w:t>Command Mode: unlimited leverage for experts</w:t>
      </w:r>
    </w:p>
    <w:p>
      <w:r>
        <w:rPr>
          <w:rFonts w:ascii="Arial" w:hAnsi="Arial"/>
          <w:color w:val="17212B"/>
          <w:sz w:val="21"/>
        </w:rPr>
        <w:t>For our most experienced bankers, advisors and investors, AI should not prescribe how they do their jobs. They know what they want. They need the ability to move from an idea to an outcome without friction.</w:t>
      </w:r>
    </w:p>
    <w:p>
      <w:r>
        <w:rPr>
          <w:rFonts w:ascii="Arial" w:hAnsi="Arial"/>
          <w:color w:val="17212B"/>
          <w:sz w:val="21"/>
        </w:rPr>
        <w:t>Their experience can be as simple as a large text box in Coach and a real-time day view showing only what matters. What changed for their clients? Who should they call? Which market development matters for a portfolio? What did a client ask about previously that has now become actionable? Which commitment still requires attention?</w:t>
      </w:r>
    </w:p>
    <w:p>
      <w:r>
        <w:rPr>
          <w:rFonts w:ascii="Arial" w:hAnsi="Arial"/>
          <w:color w:val="17212B"/>
          <w:sz w:val="21"/>
        </w:rPr>
        <w:t>They should not need to know which application to open. They should state the outcome they want. Coach can build a plan, analyze a portfolio, prepare a trade, evaluate a lending structure, research a company, compare scenarios or perform sophisticated analysis across their book and the firm’s permitted data. Playbook AI can generate the workspace needed for that task.</w:t>
      </w:r>
    </w:p>
    <w:p>
      <w:r>
        <w:rPr>
          <w:rFonts w:ascii="Arial" w:hAnsi="Arial"/>
          <w:color w:val="17212B"/>
          <w:sz w:val="21"/>
        </w:rPr>
        <w:t>Experts should also be able to configure persistent monitoring agents in natural language: “Monitor these conditions for this client. If they occur, analyze the implications, prepare the recommended response and bring it back to me.”</w:t>
      </w:r>
    </w:p>
    <w:p>
      <w:r>
        <w:rPr>
          <w:rFonts w:ascii="Arial" w:hAnsi="Arial"/>
          <w:color w:val="17212B"/>
          <w:sz w:val="21"/>
        </w:rPr>
        <w:t>These agents can monitor portfolios, markets, inboxes, opportunities and commitments. They remain governed by approved data access, tools, actions, autonomy levels and expiration dates. The expert gains the leverage of an always-on digital team without giving up authorship or accountability.</w:t>
      </w:r>
    </w:p>
    <w:p>
      <w:pPr>
        <w:pStyle w:val="Heading2"/>
      </w:pPr>
      <w:r>
        <w:t>Guided Mode: Autopilot for the working day</w:t>
      </w:r>
    </w:p>
    <w:p>
      <w:r>
        <w:rPr>
          <w:rFonts w:ascii="Arial" w:hAnsi="Arial"/>
          <w:color w:val="17212B"/>
          <w:sz w:val="21"/>
        </w:rPr>
        <w:t>For colleagues who benefit from more direction, Coach becomes an Autopilot for the day. It continuously evaluates client needs, calendar events, conversations, portfolios, market changes and outstanding commitments, then identifies the few actions most likely to matter.</w:t>
      </w:r>
    </w:p>
    <w:p>
      <w:r>
        <w:rPr>
          <w:rFonts w:ascii="Arial" w:hAnsi="Arial"/>
          <w:b/>
          <w:color w:val="0B1F33"/>
          <w:sz w:val="21"/>
        </w:rPr>
        <w:t>It might say:</w:t>
      </w:r>
      <w:r>
        <w:rPr>
          <w:rFonts w:ascii="Arial" w:hAnsi="Arial"/>
          <w:color w:val="17212B"/>
          <w:sz w:val="21"/>
        </w:rPr>
        <w:t xml:space="preserve"> “These are the three relationships to focus on this morning. Here is what changed. Here is why it matters. Here is what our specialists think. Here is the work already prepared for you.”</w:t>
      </w:r>
    </w:p>
    <w:p>
      <w:r>
        <w:rPr>
          <w:rFonts w:ascii="Arial" w:hAnsi="Arial"/>
          <w:color w:val="17212B"/>
          <w:sz w:val="21"/>
        </w:rPr>
        <w:t>Coach can prepare meetings and follow-ups, recommend the appropriate investment, lending or wealth-planning skill, and provide specific coaching after important interactions. Over time, it should help advisors identify opportunities earlier, ask better questions, conduct stronger conversations and develop better judgment.</w:t>
      </w:r>
    </w:p>
    <w:p>
      <w:r>
        <w:rPr>
          <w:rFonts w:ascii="Arial" w:hAnsi="Arial"/>
          <w:color w:val="17212B"/>
          <w:sz w:val="21"/>
        </w:rPr>
        <w:t>The objective is not to monitor the broader field or force everyone into one style. It is to make the firm’s best capabilities available as the starting point for everyone while allowing each advisor to preserve their own relationships and judgment.</w:t>
      </w:r>
    </w:p>
    <w:p>
      <w:r>
        <w:rPr>
          <w:rFonts w:ascii="Arial" w:hAnsi="Arial"/>
          <w:color w:val="17212B"/>
          <w:sz w:val="21"/>
        </w:rPr>
        <w:t>AI should expand the ceiling for our best people while raising the standard for everyone.</w:t>
      </w:r>
    </w:p>
    <w:p>
      <w:pPr>
        <w:pStyle w:val="Heading2"/>
      </w:pPr>
      <w:r>
        <w:t>Broadcast Mode: turning ideas into executable expertise</w:t>
      </w:r>
    </w:p>
    <w:p>
      <w:r>
        <w:rPr>
          <w:rFonts w:ascii="Arial" w:hAnsi="Arial"/>
          <w:color w:val="17212B"/>
          <w:sz w:val="21"/>
        </w:rPr>
        <w:t>Portfolio managers, lenders, wealth planners and other specialists are constantly developing valuable ideas. The constraint is often the friction involved in capturing the idea, packaging it and connecting it to every relationship for which it may be relevant.</w:t>
      </w:r>
    </w:p>
    <w:p>
      <w:r>
        <w:rPr>
          <w:rFonts w:ascii="Arial" w:hAnsi="Arial"/>
          <w:color w:val="17212B"/>
          <w:sz w:val="21"/>
        </w:rPr>
        <w:t>Contributing an idea should become almost effortless. A specialist can speak to Coach, leave a voice note, paste rough thoughts or upload research. The Expertise Compiler asks a few intelligent questions and converts those thoughts into a structured, attributable thesis containing evidence, risks, counterarguments, relevant client conditions, suitability considerations, trigger conditions and an expiration date.</w:t>
      </w:r>
    </w:p>
    <w:p>
      <w:r>
        <w:rPr>
          <w:rFonts w:ascii="Arial" w:hAnsi="Arial"/>
          <w:color w:val="17212B"/>
          <w:sz w:val="21"/>
        </w:rPr>
        <w:t>The specialist reviews and approves it once.</w:t>
      </w:r>
    </w:p>
    <w:p>
      <w:r>
        <w:rPr>
          <w:rFonts w:ascii="Arial" w:hAnsi="Arial"/>
          <w:color w:val="17212B"/>
          <w:sz w:val="21"/>
        </w:rPr>
        <w:t>From there, broadcasting is not a megaphone. Client Agents determine where the idea may be relevant, subject to reviewed matching logic and suitability controls. The appropriate advisor receives an explanation of why it may matter, along with client-specific analysis or outreach already prepared.</w:t>
      </w:r>
    </w:p>
    <w:p>
      <w:r>
        <w:rPr>
          <w:rFonts w:ascii="Arial" w:hAnsi="Arial"/>
          <w:color w:val="17212B"/>
          <w:sz w:val="21"/>
        </w:rPr>
        <w:t>Broadcasting should be effortless at creation and precise in distribution.</w:t>
      </w:r>
    </w:p>
    <w:p>
      <w:r>
        <w:rPr>
          <w:rFonts w:ascii="Arial" w:hAnsi="Arial"/>
          <w:color w:val="17212B"/>
          <w:sz w:val="21"/>
        </w:rPr>
        <w:t>The loop works in reverse as well. Hive can show specialists, in a controlled and aggregated way, what clients are asking about, which concerns are emerging and where unanswered needs exist. Specialists can respond to actual franchise demand and see how their views were used, what questions emerged and what outcomes followed.</w:t>
      </w:r>
    </w:p>
    <w:p>
      <w:r>
        <w:rPr>
          <w:rFonts w:ascii="Arial" w:hAnsi="Arial"/>
          <w:color w:val="17212B"/>
          <w:sz w:val="21"/>
        </w:rPr>
        <w:t>Views should expire by design. Stale advice is a risk, and the system should retire it rather than allow it to circulate indefinitely.</w:t>
      </w:r>
    </w:p>
    <w:p>
      <w:r>
        <w:rPr>
          <w:rFonts w:ascii="Arial" w:hAnsi="Arial"/>
          <w:color w:val="17212B"/>
          <w:sz w:val="21"/>
        </w:rPr>
        <w:t>Over time, the strongest specialist thinking can become a reusable skill or monitoring capability. Thought becomes thesis. Thesis finds the right relationships. Human judgment turns it into action. Outcomes improve the next idea.</w:t>
      </w:r>
    </w:p>
    <w:p>
      <w:pPr>
        <w:pStyle w:val="Heading2"/>
      </w:pPr>
      <w:r>
        <w:t>Execution Mode: moving from intent to completion</w:t>
      </w:r>
    </w:p>
    <w:p>
      <w:r>
        <w:rPr>
          <w:rFonts w:ascii="Arial" w:hAnsi="Arial"/>
          <w:color w:val="17212B"/>
          <w:sz w:val="21"/>
        </w:rPr>
        <w:t>Intelligence is only valuable if it can lead to action.</w:t>
      </w:r>
    </w:p>
    <w:p>
      <w:r>
        <w:rPr>
          <w:rFonts w:ascii="Arial" w:hAnsi="Arial"/>
          <w:color w:val="17212B"/>
          <w:sz w:val="21"/>
        </w:rPr>
        <w:t>When a client requests an address change, mortgage, line of credit or another service, the banker should not need to navigate several applications and coordinate multiple teams manually. Coach should understand the intent, gather the required information, coordinate relevant systems and specialists, track the work and keep everyone informed.</w:t>
      </w:r>
    </w:p>
    <w:p>
      <w:r>
        <w:rPr>
          <w:rFonts w:ascii="Arial" w:hAnsi="Arial"/>
          <w:color w:val="17212B"/>
          <w:sz w:val="21"/>
        </w:rPr>
        <w:t>AI can interpret, assemble, prepare and coordinate. Controlled systems continue to manage identity, authorization, books and records, money movement and other actions requiring certainty.</w:t>
      </w:r>
    </w:p>
    <w:p>
      <w:r>
        <w:rPr>
          <w:rFonts w:ascii="Arial" w:hAnsi="Arial"/>
          <w:color w:val="17212B"/>
          <w:sz w:val="21"/>
        </w:rPr>
        <w:t>Autonomy should progress deliberately:</w:t>
      </w:r>
    </w:p>
    <w:p>
      <w:pPr>
        <w:spacing w:after="80" w:line="269" w:lineRule="auto"/>
        <w:ind w:left="540" w:hanging="271"/>
      </w:pPr>
      <w:r>
        <w:rPr>
          <w:rFonts w:ascii="Arial" w:hAnsi="Arial"/>
          <w:color w:val="17212B"/>
          <w:sz w:val="21"/>
        </w:rPr>
        <w:t xml:space="preserve">1. </w:t>
      </w:r>
      <w:r>
        <w:rPr>
          <w:rFonts w:ascii="Arial" w:hAnsi="Arial"/>
          <w:color w:val="17212B"/>
          <w:sz w:val="21"/>
        </w:rPr>
        <w:t>Observe and report.</w:t>
      </w:r>
    </w:p>
    <w:p>
      <w:pPr>
        <w:spacing w:after="80" w:line="269" w:lineRule="auto"/>
        <w:ind w:left="540" w:hanging="271"/>
      </w:pPr>
      <w:r>
        <w:rPr>
          <w:rFonts w:ascii="Arial" w:hAnsi="Arial"/>
          <w:color w:val="17212B"/>
          <w:sz w:val="21"/>
        </w:rPr>
        <w:t xml:space="preserve">2. </w:t>
      </w:r>
      <w:r>
        <w:rPr>
          <w:rFonts w:ascii="Arial" w:hAnsi="Arial"/>
          <w:color w:val="17212B"/>
          <w:sz w:val="21"/>
        </w:rPr>
        <w:t>Recommend, with a person deciding and acting.</w:t>
      </w:r>
    </w:p>
    <w:p>
      <w:pPr>
        <w:spacing w:after="80" w:line="269" w:lineRule="auto"/>
        <w:ind w:left="540" w:hanging="271"/>
      </w:pPr>
      <w:r>
        <w:rPr>
          <w:rFonts w:ascii="Arial" w:hAnsi="Arial"/>
          <w:color w:val="17212B"/>
          <w:sz w:val="21"/>
        </w:rPr>
        <w:t xml:space="preserve">3. </w:t>
      </w:r>
      <w:r>
        <w:rPr>
          <w:rFonts w:ascii="Arial" w:hAnsi="Arial"/>
          <w:color w:val="17212B"/>
          <w:sz w:val="21"/>
        </w:rPr>
        <w:t>Prepare the work fully for human review and release.</w:t>
      </w:r>
    </w:p>
    <w:p>
      <w:pPr>
        <w:spacing w:after="80" w:line="269" w:lineRule="auto"/>
        <w:ind w:left="540" w:hanging="271"/>
      </w:pPr>
      <w:r>
        <w:rPr>
          <w:rFonts w:ascii="Arial" w:hAnsi="Arial"/>
          <w:color w:val="17212B"/>
          <w:sz w:val="21"/>
        </w:rPr>
        <w:t xml:space="preserve">4. </w:t>
      </w:r>
      <w:r>
        <w:rPr>
          <w:rFonts w:ascii="Arial" w:hAnsi="Arial"/>
          <w:color w:val="17212B"/>
          <w:sz w:val="21"/>
        </w:rPr>
        <w:t>Execute with approval from a named person each time.</w:t>
      </w:r>
    </w:p>
    <w:p>
      <w:pPr>
        <w:spacing w:after="80" w:line="269" w:lineRule="auto"/>
        <w:ind w:left="540" w:hanging="271"/>
      </w:pPr>
      <w:r>
        <w:rPr>
          <w:rFonts w:ascii="Arial" w:hAnsi="Arial"/>
          <w:color w:val="17212B"/>
          <w:sz w:val="21"/>
        </w:rPr>
        <w:t xml:space="preserve">5. </w:t>
      </w:r>
      <w:r>
        <w:rPr>
          <w:rFonts w:ascii="Arial" w:hAnsi="Arial"/>
          <w:color w:val="17212B"/>
          <w:sz w:val="21"/>
        </w:rPr>
        <w:t>Execute independently within a narrow, approved boundary.</w:t>
      </w:r>
    </w:p>
    <w:p>
      <w:pPr>
        <w:spacing w:after="80" w:line="269" w:lineRule="auto"/>
        <w:ind w:left="540" w:hanging="271"/>
      </w:pPr>
      <w:r>
        <w:rPr>
          <w:rFonts w:ascii="Arial" w:hAnsi="Arial"/>
          <w:color w:val="17212B"/>
          <w:sz w:val="21"/>
        </w:rPr>
        <w:t xml:space="preserve">6. </w:t>
      </w:r>
      <w:r>
        <w:rPr>
          <w:rFonts w:ascii="Arial" w:hAnsi="Arial"/>
          <w:color w:val="17212B"/>
          <w:sz w:val="21"/>
        </w:rPr>
        <w:t>Remain human-only.</w:t>
      </w:r>
    </w:p>
    <w:p>
      <w:r>
        <w:rPr>
          <w:rFonts w:ascii="Arial" w:hAnsi="Arial"/>
          <w:color w:val="17212B"/>
          <w:sz w:val="21"/>
        </w:rPr>
        <w:t>Each skill is approved for a specific level. It advances based on evidence, not aspiration. Some decisions should never advance.</w:t>
      </w:r>
    </w:p>
    <w:p>
      <w:r>
        <w:rPr>
          <w:rFonts w:ascii="Arial" w:hAnsi="Arial"/>
          <w:color w:val="17212B"/>
          <w:sz w:val="21"/>
        </w:rPr>
        <w:t>Operations professionals remain essential. Their work shifts toward supervising intelligent execution, resolving genuine exceptions, improving process design and teaching the system how expert operational judgment is applied. When something fails, an operations agent can assemble the history, explain the problem and recommend possible resolutions before the expert steps in.</w:t>
      </w:r>
    </w:p>
    <w:p>
      <w:r>
        <w:rPr>
          <w:rFonts w:ascii="Arial" w:hAnsi="Arial"/>
          <w:color w:val="17212B"/>
          <w:sz w:val="21"/>
        </w:rPr>
        <w:t>The capacity created should be reinvested in responsiveness, judgment and deeper client relationships.</w:t>
      </w:r>
    </w:p>
    <w:p>
      <w:pPr>
        <w:pStyle w:val="Heading1"/>
      </w:pPr>
      <w:r>
        <w:t>6. THE FULL CLIENT LIFECYCLE</w:t>
      </w:r>
    </w:p>
    <w:p>
      <w:r>
        <w:rPr>
          <w:rFonts w:ascii="Arial" w:hAnsi="Arial"/>
          <w:color w:val="17212B"/>
          <w:sz w:val="21"/>
        </w:rPr>
        <w:t>The vision begins before someone becomes a client.</w:t>
      </w:r>
    </w:p>
    <w:p>
      <w:r>
        <w:rPr>
          <w:rFonts w:ascii="Arial" w:hAnsi="Arial"/>
          <w:color w:val="17212B"/>
          <w:sz w:val="21"/>
        </w:rPr>
        <w:t>With the appropriate data and controls, Coach can help identify prospective relationships, understand relevant public signals, map warm paths into the firm and prepare a differentiated first conversation. During a prospect meeting, the team can demonstrate the intelligence of J.P. Morgan through live, relevant analysis rather than a generic presentation.</w:t>
      </w:r>
    </w:p>
    <w:p>
      <w:r>
        <w:rPr>
          <w:rFonts w:ascii="Arial" w:hAnsi="Arial"/>
          <w:color w:val="17212B"/>
          <w:sz w:val="21"/>
        </w:rPr>
        <w:t>When the prospect chooses the firm, the context should move seamlessly into KYC, onboarding, funding and the ongoing relationship. The Prospect Agent becomes the Client Agent. The memory does not reset at onboarding.</w:t>
      </w:r>
    </w:p>
    <w:p>
      <w:r>
        <w:rPr>
          <w:rFonts w:ascii="Arial" w:hAnsi="Arial"/>
          <w:color w:val="17212B"/>
          <w:sz w:val="21"/>
        </w:rPr>
        <w:t>The relationship extends beyond one person. It may include spouses, children, trustees, beneficiaries, family-office professionals, executive assistants, attorneys and accountants. The Client Agent maintains a carefully permissioned relationship graph that understands each person’s role and what can be shared with whom.</w:t>
      </w:r>
    </w:p>
    <w:p>
      <w:r>
        <w:rPr>
          <w:rFonts w:ascii="Arial" w:hAnsi="Arial"/>
          <w:color w:val="17212B"/>
          <w:sz w:val="21"/>
        </w:rPr>
        <w:t>This creates more powerful experiences around family governance, next-generation education, wealth transfer, philanthropy and family meetings. It also helps the bank build relationships with the next generation before assets are already in motion.</w:t>
      </w:r>
    </w:p>
    <w:p>
      <w:pPr>
        <w:pStyle w:val="Heading2"/>
      </w:pPr>
      <w:r>
        <w:t>The client companion</w:t>
      </w:r>
    </w:p>
    <w:p>
      <w:r>
        <w:rPr>
          <w:rFonts w:ascii="Arial" w:hAnsi="Arial"/>
          <w:color w:val="17212B"/>
          <w:sz w:val="21"/>
        </w:rPr>
        <w:t>Clients should experience the platform through an intelligent, permissioned companion that can answer routine questions, explain developments in their own context, help explore scenarios, monitor progress against goals and complete appropriate self-service activities.</w:t>
      </w:r>
    </w:p>
    <w:p>
      <w:r>
        <w:rPr>
          <w:rFonts w:ascii="Arial" w:hAnsi="Arial"/>
          <w:color w:val="17212B"/>
          <w:sz w:val="21"/>
        </w:rPr>
        <w:t>When judgment or a sensitive conversation is needed, the banker enters seamlessly with the full context. The client does not need to start again or explain what has already happened.</w:t>
      </w:r>
    </w:p>
    <w:p>
      <w:r>
        <w:rPr>
          <w:rFonts w:ascii="Arial" w:hAnsi="Arial"/>
          <w:color w:val="17212B"/>
          <w:sz w:val="21"/>
        </w:rPr>
        <w:t>In time, family offices and clients may use their own AI assistants to interact with the bank. J.P. Morgan should be prepared for a secure, authenticated and scoped agent-to-bank channel governed by the same entitlements and audit standards, with the human relationship informed rather than bypassed.</w:t>
      </w:r>
    </w:p>
    <w:p>
      <w:pPr>
        <w:pStyle w:val="Heading2"/>
      </w:pPr>
      <w:r>
        <w:t>The client shield</w:t>
      </w:r>
    </w:p>
    <w:p>
      <w:r>
        <w:rPr>
          <w:rFonts w:ascii="Arial" w:hAnsi="Arial"/>
          <w:color w:val="17212B"/>
          <w:sz w:val="21"/>
        </w:rPr>
        <w:t>The same platform can help protect clients against deepfakes, impersonation, social engineering, account takeover, financial exploitation and other AI-enabled threats. J.P. Morgan should not only provide powerful intelligence. It should also be the safest place for clients to navigate an AI-driven world.</w:t>
      </w:r>
    </w:p>
    <w:p>
      <w:pPr>
        <w:pStyle w:val="Heading1"/>
      </w:pPr>
      <w:r>
        <w:t>7. REINVENTING APPRENTICESHIP AND BUILDING A CULTURE THAT COMPOUNDS</w:t>
      </w:r>
    </w:p>
    <w:p>
      <w:pPr>
        <w:pStyle w:val="Heading2"/>
      </w:pPr>
      <w:r>
        <w:t>The Simulation Academy</w:t>
      </w:r>
    </w:p>
    <w:p>
      <w:r>
        <w:rPr>
          <w:rFonts w:ascii="Arial" w:hAnsi="Arial"/>
          <w:color w:val="17212B"/>
          <w:sz w:val="21"/>
        </w:rPr>
        <w:t>As AI absorbs more of the assembly work traditionally performed by junior analysts, we cannot assume judgment will develop automatically. We need to redesign, not remove, apprenticeship.</w:t>
      </w:r>
    </w:p>
    <w:p>
      <w:r>
        <w:rPr>
          <w:rFonts w:ascii="Arial" w:hAnsi="Arial"/>
          <w:color w:val="17212B"/>
          <w:sz w:val="21"/>
        </w:rPr>
        <w:t>Every new analyst could manage a parallel book of simulated AI clients with realistic families, businesses, portfolios, inboxes, voices, personalities and changing needs. These clients can ask questions, react to recommendations, challenge assumptions, present difficult situations and evolve over time.</w:t>
      </w:r>
    </w:p>
    <w:p>
      <w:r>
        <w:rPr>
          <w:rFonts w:ascii="Arial" w:hAnsi="Arial"/>
          <w:color w:val="17212B"/>
          <w:sz w:val="21"/>
        </w:rPr>
        <w:t>Analysts can deliberately practice investments, wealth planning, lending, client communication and decision-making. They can learn how to prepare for a meeting, respond to an anxious client, explain a complex idea, identify an opportunity, recover from a mistake and operate under pressure.</w:t>
      </w:r>
    </w:p>
    <w:p>
      <w:r>
        <w:rPr>
          <w:rFonts w:ascii="Arial" w:hAnsi="Arial"/>
          <w:color w:val="17212B"/>
          <w:sz w:val="21"/>
        </w:rPr>
        <w:t>At the same time, they continue supporting bankers on real relationships. That is where they learn trust, empathy, accountability and how experienced professionals exercise judgment when there is no perfect answer.</w:t>
      </w:r>
    </w:p>
    <w:p>
      <w:r>
        <w:rPr>
          <w:rFonts w:ascii="Arial" w:hAnsi="Arial"/>
          <w:color w:val="17212B"/>
          <w:sz w:val="21"/>
        </w:rPr>
        <w:t>Simulation accelerates apprenticeship. It does not replace it.</w:t>
      </w:r>
    </w:p>
    <w:p>
      <w:r>
        <w:rPr>
          <w:rFonts w:ascii="Arial" w:hAnsi="Arial"/>
          <w:color w:val="17212B"/>
          <w:sz w:val="21"/>
        </w:rPr>
        <w:t>The same environment can become a digital wind tunnel for the broader bank. Experienced bankers can rehearse an important prospect conversation. Managers can practice difficult coaching situations. New agents, skills, products, policies and workflows can be tested against synthetic relationships before reaching real clients.</w:t>
      </w:r>
    </w:p>
    <w:p>
      <w:pPr>
        <w:pStyle w:val="Heading2"/>
      </w:pPr>
      <w:r>
        <w:t>Power Friday</w:t>
      </w:r>
    </w:p>
    <w:p>
      <w:r>
        <w:rPr>
          <w:rFonts w:ascii="Arial" w:hAnsi="Arial"/>
          <w:color w:val="17212B"/>
          <w:sz w:val="21"/>
        </w:rPr>
        <w:t>An AI-native Private Bank cannot only have technology that becomes smarter each week. Its people must become better each week too.</w:t>
      </w:r>
    </w:p>
    <w:p>
      <w:r>
        <w:rPr>
          <w:rFonts w:ascii="Arial" w:hAnsi="Arial"/>
          <w:color w:val="17212B"/>
          <w:sz w:val="21"/>
        </w:rPr>
        <w:t>Power Friday can become the cultural ritual that makes continuous improvement real. Every advisor, analyst, specialist, operations professional and leader receives protected weekly time for an AI-personalized development experience based on their work.</w:t>
      </w:r>
    </w:p>
    <w:p>
      <w:r>
        <w:rPr>
          <w:rFonts w:ascii="Arial" w:hAnsi="Arial"/>
          <w:color w:val="17212B"/>
          <w:sz w:val="21"/>
        </w:rPr>
        <w:t>The personal experience, Your Weekly Edge, is supported by a Personal Capability Agent. The weekly loop is simple:</w:t>
      </w:r>
    </w:p>
    <w:p>
      <w:r>
        <w:rPr>
          <w:rFonts w:ascii="Arial" w:hAnsi="Arial"/>
          <w:color w:val="17212B"/>
          <w:sz w:val="21"/>
        </w:rPr>
        <w:t>Reflect. What went well, and what moments are worth revisiting?</w:t>
      </w:r>
    </w:p>
    <w:p>
      <w:r>
        <w:rPr>
          <w:rFonts w:ascii="Arial" w:hAnsi="Arial"/>
          <w:color w:val="17212B"/>
          <w:sz w:val="21"/>
        </w:rPr>
        <w:t>Validate. The employee confirms or corrects the system’s interpretation.</w:t>
      </w:r>
    </w:p>
    <w:p>
      <w:r>
        <w:rPr>
          <w:rFonts w:ascii="Arial" w:hAnsi="Arial"/>
          <w:color w:val="17212B"/>
          <w:sz w:val="21"/>
        </w:rPr>
        <w:t>Choose. The employee selects one capability that matters.</w:t>
      </w:r>
    </w:p>
    <w:p>
      <w:r>
        <w:rPr>
          <w:rFonts w:ascii="Arial" w:hAnsi="Arial"/>
          <w:color w:val="17212B"/>
          <w:sz w:val="21"/>
        </w:rPr>
        <w:t>Practice. Coach creates a relevant simulation, lesson or replay.</w:t>
      </w:r>
    </w:p>
    <w:p>
      <w:r>
        <w:rPr>
          <w:rFonts w:ascii="Arial" w:hAnsi="Arial"/>
          <w:color w:val="17212B"/>
          <w:sz w:val="21"/>
        </w:rPr>
        <w:t>Apply. The employee uses the learning in an actual situation planned for the next week.</w:t>
      </w:r>
    </w:p>
    <w:p>
      <w:r>
        <w:rPr>
          <w:rFonts w:ascii="Arial" w:hAnsi="Arial"/>
          <w:color w:val="17212B"/>
          <w:sz w:val="21"/>
        </w:rPr>
        <w:t>Measure. The system follows up and helps the employee see whether the change worked.</w:t>
      </w:r>
    </w:p>
    <w:p>
      <w:r>
        <w:rPr>
          <w:rFonts w:ascii="Arial" w:hAnsi="Arial"/>
          <w:color w:val="17212B"/>
          <w:sz w:val="21"/>
        </w:rPr>
        <w:t>A banker who struggled to explain a structured idea can practice a clearer conversation. An analyst can combine a wealth-planning lesson with preparation for an upcoming client meeting. A specialist can improve how an idea is framed. A leader can rehearse a coaching conversation. A top-performing advisor can challenge their own thinking or convert a best practice into a firm skill.</w:t>
      </w:r>
    </w:p>
    <w:p>
      <w:r>
        <w:rPr>
          <w:rFonts w:ascii="Arial" w:hAnsi="Arial"/>
          <w:color w:val="17212B"/>
          <w:sz w:val="21"/>
        </w:rPr>
        <w:t>Your week becomes your curriculum.</w:t>
      </w:r>
    </w:p>
    <w:p>
      <w:r>
        <w:rPr>
          <w:rFonts w:ascii="Arial" w:hAnsi="Arial"/>
          <w:color w:val="17212B"/>
          <w:sz w:val="21"/>
        </w:rPr>
        <w:t>This must be built on trust. Employees see the evidence behind each recommendation, can correct assumptions and choose the development focus. Detailed coaching remains private by default and separate from formal performance evaluation. Managers see shared goals and aggregated capability themes, not hidden individual scores. Leaders and top performers participate alongside everyone else.</w:t>
      </w:r>
    </w:p>
    <w:p>
      <w:pPr>
        <w:pStyle w:val="Heading1"/>
      </w:pPr>
      <w:r>
        <w:t>8. THE LEADERSHIP OPERATING SYSTEM</w:t>
      </w:r>
    </w:p>
    <w:p>
      <w:r>
        <w:rPr>
          <w:rFonts w:ascii="Arial" w:hAnsi="Arial"/>
          <w:color w:val="17212B"/>
          <w:sz w:val="21"/>
        </w:rPr>
        <w:t>Leaders should no longer need to rely primarily on backward-looking reports to understand the businesses they run.</w:t>
      </w:r>
    </w:p>
    <w:p>
      <w:r>
        <w:rPr>
          <w:rFonts w:ascii="Arial" w:hAnsi="Arial"/>
          <w:color w:val="17212B"/>
          <w:sz w:val="21"/>
        </w:rPr>
        <w:t>They should have a living view of emerging client needs, opportunities and risks; outstanding commitments; team capacity; stalled work; specialist demand; operational bottlenecks; and capability themes.</w:t>
      </w:r>
    </w:p>
    <w:p>
      <w:r>
        <w:rPr>
          <w:rFonts w:ascii="Arial" w:hAnsi="Arial"/>
          <w:color w:val="17212B"/>
          <w:sz w:val="21"/>
        </w:rPr>
        <w:t>A leadership agent can help answer:</w:t>
      </w:r>
    </w:p>
    <w:p>
      <w:pPr>
        <w:spacing w:after="80" w:line="269" w:lineRule="auto"/>
        <w:ind w:left="540" w:hanging="271"/>
      </w:pPr>
      <w:r>
        <w:rPr>
          <w:rFonts w:ascii="Arial" w:hAnsi="Arial"/>
          <w:b/>
          <w:color w:val="C45A2A"/>
          <w:sz w:val="21"/>
        </w:rPr>
        <w:t xml:space="preserve">• </w:t>
      </w:r>
      <w:r>
        <w:rPr>
          <w:rFonts w:ascii="Arial" w:hAnsi="Arial"/>
          <w:color w:val="17212B"/>
          <w:sz w:val="21"/>
        </w:rPr>
        <w:t>Which client needs are emerging across my market?</w:t>
      </w:r>
    </w:p>
    <w:p>
      <w:pPr>
        <w:spacing w:after="80" w:line="269" w:lineRule="auto"/>
        <w:ind w:left="540" w:hanging="271"/>
      </w:pPr>
      <w:r>
        <w:rPr>
          <w:rFonts w:ascii="Arial" w:hAnsi="Arial"/>
          <w:b/>
          <w:color w:val="C45A2A"/>
          <w:sz w:val="21"/>
        </w:rPr>
        <w:t xml:space="preserve">• </w:t>
      </w:r>
      <w:r>
        <w:rPr>
          <w:rFonts w:ascii="Arial" w:hAnsi="Arial"/>
          <w:color w:val="17212B"/>
          <w:sz w:val="21"/>
        </w:rPr>
        <w:t>Where are commitments at risk?</w:t>
      </w:r>
    </w:p>
    <w:p>
      <w:pPr>
        <w:spacing w:after="80" w:line="269" w:lineRule="auto"/>
        <w:ind w:left="540" w:hanging="271"/>
      </w:pPr>
      <w:r>
        <w:rPr>
          <w:rFonts w:ascii="Arial" w:hAnsi="Arial"/>
          <w:b/>
          <w:color w:val="C45A2A"/>
          <w:sz w:val="21"/>
        </w:rPr>
        <w:t xml:space="preserve">• </w:t>
      </w:r>
      <w:r>
        <w:rPr>
          <w:rFonts w:ascii="Arial" w:hAnsi="Arial"/>
          <w:color w:val="17212B"/>
          <w:sz w:val="21"/>
        </w:rPr>
        <w:t>Which teams are overloaded?</w:t>
      </w:r>
    </w:p>
    <w:p>
      <w:pPr>
        <w:spacing w:after="80" w:line="269" w:lineRule="auto"/>
        <w:ind w:left="540" w:hanging="271"/>
      </w:pPr>
      <w:r>
        <w:rPr>
          <w:rFonts w:ascii="Arial" w:hAnsi="Arial"/>
          <w:b/>
          <w:color w:val="C45A2A"/>
          <w:sz w:val="21"/>
        </w:rPr>
        <w:t xml:space="preserve">• </w:t>
      </w:r>
      <w:r>
        <w:rPr>
          <w:rFonts w:ascii="Arial" w:hAnsi="Arial"/>
          <w:color w:val="17212B"/>
          <w:sz w:val="21"/>
        </w:rPr>
        <w:t>Where should I bring in a planning, lending or investment specialist?</w:t>
      </w:r>
    </w:p>
    <w:p>
      <w:pPr>
        <w:spacing w:after="80" w:line="269" w:lineRule="auto"/>
        <w:ind w:left="540" w:hanging="271"/>
      </w:pPr>
      <w:r>
        <w:rPr>
          <w:rFonts w:ascii="Arial" w:hAnsi="Arial"/>
          <w:b/>
          <w:color w:val="C45A2A"/>
          <w:sz w:val="21"/>
        </w:rPr>
        <w:t xml:space="preserve">• </w:t>
      </w:r>
      <w:r>
        <w:rPr>
          <w:rFonts w:ascii="Arial" w:hAnsi="Arial"/>
          <w:color w:val="17212B"/>
          <w:sz w:val="21"/>
        </w:rPr>
        <w:t>Which approaches are improving client outcomes?</w:t>
      </w:r>
    </w:p>
    <w:p>
      <w:pPr>
        <w:spacing w:after="80" w:line="269" w:lineRule="auto"/>
        <w:ind w:left="540" w:hanging="271"/>
      </w:pPr>
      <w:r>
        <w:rPr>
          <w:rFonts w:ascii="Arial" w:hAnsi="Arial"/>
          <w:b/>
          <w:color w:val="C45A2A"/>
          <w:sz w:val="21"/>
        </w:rPr>
        <w:t xml:space="preserve">• </w:t>
      </w:r>
      <w:r>
        <w:rPr>
          <w:rFonts w:ascii="Arial" w:hAnsi="Arial"/>
          <w:color w:val="17212B"/>
          <w:sz w:val="21"/>
        </w:rPr>
        <w:t>What requires my attention today?</w:t>
      </w:r>
    </w:p>
    <w:p>
      <w:r>
        <w:rPr>
          <w:rFonts w:ascii="Arial" w:hAnsi="Arial"/>
          <w:color w:val="17212B"/>
          <w:sz w:val="21"/>
        </w:rPr>
        <w:t>Leadership agents can prepare an intervention, not just a report. They can help allocate resources, resolve bottlenecks and prepare a coaching conversation.</w:t>
      </w:r>
    </w:p>
    <w:p>
      <w:r>
        <w:rPr>
          <w:rFonts w:ascii="Arial" w:hAnsi="Arial"/>
          <w:color w:val="17212B"/>
          <w:sz w:val="21"/>
        </w:rPr>
        <w:t>The purpose is earlier support and better management, not surveillance. Leaders see markets, themes and shared commitments. Private coaching detail remains with the individual unless they choose to share it or a clearly disclosed supervisory process applies.</w:t>
      </w:r>
    </w:p>
    <w:p>
      <w:pPr>
        <w:pStyle w:val="Heading1"/>
      </w:pPr>
      <w:r>
        <w:t>9. THE TRUST ARCHITECTURE</w:t>
      </w:r>
    </w:p>
    <w:p>
      <w:r>
        <w:rPr>
          <w:rFonts w:ascii="Arial" w:hAnsi="Arial"/>
          <w:color w:val="17212B"/>
          <w:sz w:val="21"/>
        </w:rPr>
        <w:t>Trust is not the last phase of the roadmap. It is the first product we build.</w:t>
      </w:r>
    </w:p>
    <w:p>
      <w:r>
        <w:rPr>
          <w:rFonts w:ascii="Arial" w:hAnsi="Arial"/>
          <w:color w:val="17212B"/>
          <w:sz w:val="21"/>
        </w:rPr>
        <w:t>Every persistent agent or automated capability should have:</w:t>
      </w:r>
    </w:p>
    <w:p>
      <w:pPr>
        <w:spacing w:after="80" w:line="269" w:lineRule="auto"/>
        <w:ind w:left="540" w:hanging="271"/>
      </w:pPr>
      <w:r>
        <w:rPr>
          <w:rFonts w:ascii="Arial" w:hAnsi="Arial"/>
          <w:b/>
          <w:color w:val="C45A2A"/>
          <w:sz w:val="21"/>
        </w:rPr>
        <w:t xml:space="preserve">• </w:t>
      </w:r>
      <w:r>
        <w:rPr>
          <w:rFonts w:ascii="Arial" w:hAnsi="Arial"/>
          <w:color w:val="17212B"/>
          <w:sz w:val="21"/>
        </w:rPr>
        <w:t>A named human owner and clear purpose.</w:t>
      </w:r>
    </w:p>
    <w:p>
      <w:pPr>
        <w:spacing w:after="80" w:line="269" w:lineRule="auto"/>
        <w:ind w:left="540" w:hanging="271"/>
      </w:pPr>
      <w:r>
        <w:rPr>
          <w:rFonts w:ascii="Arial" w:hAnsi="Arial"/>
          <w:b/>
          <w:color w:val="C45A2A"/>
          <w:sz w:val="21"/>
        </w:rPr>
        <w:t xml:space="preserve">• </w:t>
      </w:r>
      <w:r>
        <w:rPr>
          <w:rFonts w:ascii="Arial" w:hAnsi="Arial"/>
          <w:color w:val="17212B"/>
          <w:sz w:val="21"/>
        </w:rPr>
        <w:t>Approved data access and permitted actions.</w:t>
      </w:r>
    </w:p>
    <w:p>
      <w:pPr>
        <w:spacing w:after="80" w:line="269" w:lineRule="auto"/>
        <w:ind w:left="540" w:hanging="271"/>
      </w:pPr>
      <w:r>
        <w:rPr>
          <w:rFonts w:ascii="Arial" w:hAnsi="Arial"/>
          <w:b/>
          <w:color w:val="C45A2A"/>
          <w:sz w:val="21"/>
        </w:rPr>
        <w:t xml:space="preserve">• </w:t>
      </w:r>
      <w:r>
        <w:rPr>
          <w:rFonts w:ascii="Arial" w:hAnsi="Arial"/>
          <w:color w:val="17212B"/>
          <w:sz w:val="21"/>
        </w:rPr>
        <w:t>Defined triggers and an autonomy level.</w:t>
      </w:r>
    </w:p>
    <w:p>
      <w:pPr>
        <w:spacing w:after="80" w:line="269" w:lineRule="auto"/>
        <w:ind w:left="540" w:hanging="271"/>
      </w:pPr>
      <w:r>
        <w:rPr>
          <w:rFonts w:ascii="Arial" w:hAnsi="Arial"/>
          <w:b/>
          <w:color w:val="C45A2A"/>
          <w:sz w:val="21"/>
        </w:rPr>
        <w:t xml:space="preserve">• </w:t>
      </w:r>
      <w:r>
        <w:rPr>
          <w:rFonts w:ascii="Arial" w:hAnsi="Arial"/>
          <w:color w:val="17212B"/>
          <w:sz w:val="21"/>
        </w:rPr>
        <w:t>Approval requirements.</w:t>
      </w:r>
    </w:p>
    <w:p>
      <w:pPr>
        <w:spacing w:after="80" w:line="269" w:lineRule="auto"/>
        <w:ind w:left="540" w:hanging="271"/>
      </w:pPr>
      <w:r>
        <w:rPr>
          <w:rFonts w:ascii="Arial" w:hAnsi="Arial"/>
          <w:b/>
          <w:color w:val="C45A2A"/>
          <w:sz w:val="21"/>
        </w:rPr>
        <w:t xml:space="preserve">• </w:t>
      </w:r>
      <w:r>
        <w:rPr>
          <w:rFonts w:ascii="Arial" w:hAnsi="Arial"/>
          <w:color w:val="17212B"/>
          <w:sz w:val="21"/>
        </w:rPr>
        <w:t>Evaluation standards and a complete audit history.</w:t>
      </w:r>
    </w:p>
    <w:p>
      <w:pPr>
        <w:spacing w:after="80" w:line="269" w:lineRule="auto"/>
        <w:ind w:left="540" w:hanging="271"/>
      </w:pPr>
      <w:r>
        <w:rPr>
          <w:rFonts w:ascii="Arial" w:hAnsi="Arial"/>
          <w:b/>
          <w:color w:val="C45A2A"/>
          <w:sz w:val="21"/>
        </w:rPr>
        <w:t xml:space="preserve">• </w:t>
      </w:r>
      <w:r>
        <w:rPr>
          <w:rFonts w:ascii="Arial" w:hAnsi="Arial"/>
          <w:color w:val="17212B"/>
          <w:sz w:val="21"/>
        </w:rPr>
        <w:t>Review and expiration dates.</w:t>
      </w:r>
    </w:p>
    <w:p>
      <w:pPr>
        <w:spacing w:after="80" w:line="269" w:lineRule="auto"/>
        <w:ind w:left="540" w:hanging="271"/>
      </w:pPr>
      <w:r>
        <w:rPr>
          <w:rFonts w:ascii="Arial" w:hAnsi="Arial"/>
          <w:b/>
          <w:color w:val="C45A2A"/>
          <w:sz w:val="21"/>
        </w:rPr>
        <w:t xml:space="preserve">• </w:t>
      </w:r>
      <w:r>
        <w:rPr>
          <w:rFonts w:ascii="Arial" w:hAnsi="Arial"/>
          <w:color w:val="17212B"/>
          <w:sz w:val="21"/>
        </w:rPr>
        <w:t>Pause, rollback and retirement controls.</w:t>
      </w:r>
    </w:p>
    <w:p>
      <w:r>
        <w:rPr>
          <w:rFonts w:ascii="Arial" w:hAnsi="Arial"/>
          <w:color w:val="17212B"/>
          <w:sz w:val="21"/>
        </w:rPr>
        <w:t>The system loads identity and entitlements before context is assembled. Context is filtered before a model sees it. Every tool call is checked against an allow-list. Instructions remain separate from untrusted content. Material actions pass through the appropriate judgment gate. Money movement is always confirmed through established controls and out-of-band verification.</w:t>
      </w:r>
    </w:p>
    <w:p>
      <w:r>
        <w:rPr>
          <w:rFonts w:ascii="Arial" w:hAnsi="Arial"/>
          <w:color w:val="17212B"/>
          <w:sz w:val="21"/>
        </w:rPr>
        <w:t>An agent that reads email is exposed to adversarial email. Prompt injection is a new form of social engineering, and every inbox or web-connected agent must be designed accordingly. Behavioral anomaly detection should pause activity that falls outside an agent’s expected pattern. A standing red team should test the platform, including household memory partitioning and client-facing surfaces.</w:t>
      </w:r>
    </w:p>
    <w:p>
      <w:r>
        <w:rPr>
          <w:rFonts w:ascii="Arial" w:hAnsi="Arial"/>
          <w:color w:val="17212B"/>
          <w:sz w:val="21"/>
        </w:rPr>
        <w:t>No skill or workflow should enter production without evaluations and a pass threshold. Model changes should run champion against challenger behind stable skills. Production behavior should be monitored for drift. Incidents need clear severity levels, rehearsed escalation procedures and immediate kill controls.</w:t>
      </w:r>
    </w:p>
    <w:p>
      <w:r>
        <w:rPr>
          <w:rFonts w:ascii="Arial" w:hAnsi="Arial"/>
          <w:color w:val="17212B"/>
          <w:sz w:val="21"/>
        </w:rPr>
        <w:t>Risk, legal, compliance, cybersecurity, supervision and operations are not reviewers added at the end. They are builders of the trust layer.</w:t>
      </w:r>
    </w:p>
    <w:p>
      <w:r>
        <w:rPr>
          <w:rFonts w:ascii="Arial" w:hAnsi="Arial"/>
          <w:color w:val="17212B"/>
          <w:sz w:val="21"/>
        </w:rPr>
        <w:t>The better we encode our controls, the more autonomy we can safely provide.</w:t>
      </w:r>
    </w:p>
    <w:p>
      <w:pPr>
        <w:pStyle w:val="Heading1"/>
      </w:pPr>
      <w:r>
        <w:t>10. THE COMPOUNDING INTELLIGENCE LOOP</w:t>
      </w:r>
    </w:p>
    <w:p>
      <w:r>
        <w:rPr>
          <w:rFonts w:ascii="Arial" w:hAnsi="Arial"/>
          <w:color w:val="17212B"/>
          <w:sz w:val="21"/>
        </w:rPr>
        <w:t>The system should learn from outcomes, not merely activity.</w:t>
      </w:r>
    </w:p>
    <w:p>
      <w:r>
        <w:rPr>
          <w:rFonts w:ascii="Arial" w:hAnsi="Arial"/>
          <w:color w:val="17212B"/>
          <w:sz w:val="21"/>
        </w:rPr>
        <w:t>For every idea, recommendation or action, we should eventually understand:</w:t>
      </w:r>
    </w:p>
    <w:p>
      <w:pPr>
        <w:spacing w:after="80" w:line="269" w:lineRule="auto"/>
        <w:ind w:left="540" w:hanging="271"/>
      </w:pPr>
      <w:r>
        <w:rPr>
          <w:rFonts w:ascii="Arial" w:hAnsi="Arial"/>
          <w:b/>
          <w:color w:val="C45A2A"/>
          <w:sz w:val="21"/>
        </w:rPr>
        <w:t xml:space="preserve">• </w:t>
      </w:r>
      <w:r>
        <w:rPr>
          <w:rFonts w:ascii="Arial" w:hAnsi="Arial"/>
          <w:color w:val="17212B"/>
          <w:sz w:val="21"/>
        </w:rPr>
        <w:t>Was it useful?</w:t>
      </w:r>
    </w:p>
    <w:p>
      <w:pPr>
        <w:spacing w:after="80" w:line="269" w:lineRule="auto"/>
        <w:ind w:left="540" w:hanging="271"/>
      </w:pPr>
      <w:r>
        <w:rPr>
          <w:rFonts w:ascii="Arial" w:hAnsi="Arial"/>
          <w:b/>
          <w:color w:val="C45A2A"/>
          <w:sz w:val="21"/>
        </w:rPr>
        <w:t xml:space="preserve">• </w:t>
      </w:r>
      <w:r>
        <w:rPr>
          <w:rFonts w:ascii="Arial" w:hAnsi="Arial"/>
          <w:color w:val="17212B"/>
          <w:sz w:val="21"/>
        </w:rPr>
        <w:t>Did the advisor accept, modify or reject it?</w:t>
      </w:r>
    </w:p>
    <w:p>
      <w:pPr>
        <w:spacing w:after="80" w:line="269" w:lineRule="auto"/>
        <w:ind w:left="540" w:hanging="271"/>
      </w:pPr>
      <w:r>
        <w:rPr>
          <w:rFonts w:ascii="Arial" w:hAnsi="Arial"/>
          <w:b/>
          <w:color w:val="C45A2A"/>
          <w:sz w:val="21"/>
        </w:rPr>
        <w:t xml:space="preserve">• </w:t>
      </w:r>
      <w:r>
        <w:rPr>
          <w:rFonts w:ascii="Arial" w:hAnsi="Arial"/>
          <w:color w:val="17212B"/>
          <w:sz w:val="21"/>
        </w:rPr>
        <w:t>Was action taken?</w:t>
      </w:r>
    </w:p>
    <w:p>
      <w:pPr>
        <w:spacing w:after="80" w:line="269" w:lineRule="auto"/>
        <w:ind w:left="540" w:hanging="271"/>
      </w:pPr>
      <w:r>
        <w:rPr>
          <w:rFonts w:ascii="Arial" w:hAnsi="Arial"/>
          <w:b/>
          <w:color w:val="C45A2A"/>
          <w:sz w:val="21"/>
        </w:rPr>
        <w:t xml:space="preserve">• </w:t>
      </w:r>
      <w:r>
        <w:rPr>
          <w:rFonts w:ascii="Arial" w:hAnsi="Arial"/>
          <w:color w:val="17212B"/>
          <w:sz w:val="21"/>
        </w:rPr>
        <w:t>Did the client engage?</w:t>
      </w:r>
    </w:p>
    <w:p>
      <w:pPr>
        <w:spacing w:after="80" w:line="269" w:lineRule="auto"/>
        <w:ind w:left="540" w:hanging="271"/>
      </w:pPr>
      <w:r>
        <w:rPr>
          <w:rFonts w:ascii="Arial" w:hAnsi="Arial"/>
          <w:b/>
          <w:color w:val="C45A2A"/>
          <w:sz w:val="21"/>
        </w:rPr>
        <w:t xml:space="preserve">• </w:t>
      </w:r>
      <w:r>
        <w:rPr>
          <w:rFonts w:ascii="Arial" w:hAnsi="Arial"/>
          <w:color w:val="17212B"/>
          <w:sz w:val="21"/>
        </w:rPr>
        <w:t>Did execution succeed?</w:t>
      </w:r>
    </w:p>
    <w:p>
      <w:pPr>
        <w:spacing w:after="80" w:line="269" w:lineRule="auto"/>
        <w:ind w:left="540" w:hanging="271"/>
      </w:pPr>
      <w:r>
        <w:rPr>
          <w:rFonts w:ascii="Arial" w:hAnsi="Arial"/>
          <w:b/>
          <w:color w:val="C45A2A"/>
          <w:sz w:val="21"/>
        </w:rPr>
        <w:t xml:space="preserve">• </w:t>
      </w:r>
      <w:r>
        <w:rPr>
          <w:rFonts w:ascii="Arial" w:hAnsi="Arial"/>
          <w:color w:val="17212B"/>
          <w:sz w:val="21"/>
        </w:rPr>
        <w:t>Did it improve the client outcome or deepen the relationship?</w:t>
      </w:r>
    </w:p>
    <w:p>
      <w:pPr>
        <w:spacing w:after="80" w:line="269" w:lineRule="auto"/>
        <w:ind w:left="540" w:hanging="271"/>
      </w:pPr>
      <w:r>
        <w:rPr>
          <w:rFonts w:ascii="Arial" w:hAnsi="Arial"/>
          <w:b/>
          <w:color w:val="C45A2A"/>
          <w:sz w:val="21"/>
        </w:rPr>
        <w:t xml:space="preserve">• </w:t>
      </w:r>
      <w:r>
        <w:rPr>
          <w:rFonts w:ascii="Arial" w:hAnsi="Arial"/>
          <w:color w:val="17212B"/>
          <w:sz w:val="21"/>
        </w:rPr>
        <w:t>In which circumstances did it work or fail?</w:t>
      </w:r>
    </w:p>
    <w:p>
      <w:pPr>
        <w:spacing w:after="80" w:line="269" w:lineRule="auto"/>
        <w:ind w:left="540" w:hanging="271"/>
      </w:pPr>
      <w:r>
        <w:rPr>
          <w:rFonts w:ascii="Arial" w:hAnsi="Arial"/>
          <w:b/>
          <w:color w:val="C45A2A"/>
          <w:sz w:val="21"/>
        </w:rPr>
        <w:t xml:space="preserve">• </w:t>
      </w:r>
      <w:r>
        <w:rPr>
          <w:rFonts w:ascii="Arial" w:hAnsi="Arial"/>
          <w:color w:val="17212B"/>
          <w:sz w:val="21"/>
        </w:rPr>
        <w:t>Did it create unnecessary noise or risk?</w:t>
      </w:r>
    </w:p>
    <w:p>
      <w:r>
        <w:rPr>
          <w:rFonts w:ascii="Arial" w:hAnsi="Arial"/>
          <w:color w:val="17212B"/>
          <w:sz w:val="21"/>
        </w:rPr>
        <w:t>This prevents Hive from confusing popularity with quality and prevents Coach from optimizing for clicks rather than value.</w:t>
      </w:r>
    </w:p>
    <w:p>
      <w:r>
        <w:rPr>
          <w:rFonts w:ascii="Arial" w:hAnsi="Arial"/>
          <w:color w:val="17212B"/>
          <w:sz w:val="21"/>
        </w:rPr>
        <w:t>The loop is continuous. Client and market signals feed Client Agents and Hive. Specialist and advisor judgment turns signals into ideas. Intelligent matching finds relevant relationships. Coach prepares the work. Humans apply judgment. Governed workflows execute. Outcomes improve memory, recommendations, skills, controls and coaching.</w:t>
      </w:r>
    </w:p>
    <w:p>
      <w:r>
        <w:rPr>
          <w:rFonts w:ascii="Arial" w:hAnsi="Arial"/>
          <w:color w:val="17212B"/>
          <w:sz w:val="21"/>
        </w:rPr>
        <w:t>The moat is not the model, chatbot or screen. It is the system created by connecting trusted client context, institutional memory, J.P. Morgan expertise, human judgment, data, workflows, controls, execution and outcomes.</w:t>
      </w:r>
    </w:p>
    <w:p>
      <w:r>
        <w:rPr>
          <w:rFonts w:ascii="Arial" w:hAnsi="Arial"/>
          <w:color w:val="17212B"/>
          <w:sz w:val="21"/>
        </w:rPr>
        <w:t>For the Hive, aggregation is not simply a constraint. It is the product. Hive should reveal patterns among sufficiently sized, permissioned cohorts without exposing individual clients. It allows the firm to understand what clients like this are asking, considering or doing while protecting the confidentiality of each relationship.</w:t>
      </w:r>
    </w:p>
    <w:p>
      <w:pPr>
        <w:pStyle w:val="Heading1"/>
      </w:pPr>
      <w:r>
        <w:t>11. THE PATH: TRUST, PREPARE, REMEMBER, ANTICIPATE, ACT, LEARN</w:t>
      </w:r>
    </w:p>
    <w:p>
      <w:r>
        <w:rPr>
          <w:rFonts w:ascii="Arial" w:hAnsi="Arial"/>
          <w:color w:val="17212B"/>
          <w:sz w:val="21"/>
        </w:rPr>
        <w:t>The roadmap should follow a deliberate sequence. The stages can overlap, but the dependencies should not be skipped.</w:t>
      </w:r>
    </w:p>
    <w:p>
      <w:pPr>
        <w:pStyle w:val="Heading2"/>
      </w:pPr>
      <w:r>
        <w:t>Stage one: Trust</w:t>
      </w:r>
    </w:p>
    <w:p>
      <w:r>
        <w:rPr>
          <w:rFonts w:ascii="Arial" w:hAnsi="Arial"/>
          <w:color w:val="17212B"/>
          <w:sz w:val="21"/>
        </w:rPr>
        <w:t>Make Coach 3.0 the reliable front door. Improve routing, latency, answer quality, source attribution, entitlement enforcement and production observability. Strengthen CRM and portfolio access, connect email and web information, and make the experience available on mobile. Establish the agent and skill registry, evaluation standards, logging and common policy controls.</w:t>
      </w:r>
    </w:p>
    <w:p>
      <w:r>
        <w:rPr>
          <w:rFonts w:ascii="Arial" w:hAnsi="Arial"/>
          <w:color w:val="17212B"/>
          <w:sz w:val="21"/>
        </w:rPr>
        <w:t>The gate is evidence that Coach is reliable enough to support more responsibility.</w:t>
      </w:r>
    </w:p>
    <w:p>
      <w:pPr>
        <w:pStyle w:val="Heading2"/>
      </w:pPr>
      <w:r>
        <w:t>Stage two: Prepare</w:t>
      </w:r>
    </w:p>
    <w:p>
      <w:r>
        <w:rPr>
          <w:rFonts w:ascii="Arial" w:hAnsi="Arial"/>
          <w:color w:val="17212B"/>
          <w:sz w:val="21"/>
        </w:rPr>
        <w:t>Move from answers to prepared work. Launch Assists into the Action Center for high-frequency, reviewable use cases such as meeting follow-ups, draft client responses, research packages, CRM updates and service-request preparation. Create common task, action and commitment objects. Capture whether users accept, edit, reject or complete the work.</w:t>
      </w:r>
    </w:p>
    <w:p>
      <w:r>
        <w:rPr>
          <w:rFonts w:ascii="Arial" w:hAnsi="Arial"/>
          <w:b/>
          <w:color w:val="0B1F33"/>
          <w:sz w:val="21"/>
        </w:rPr>
        <w:t>The gate is trusted usefulness:</w:t>
      </w:r>
      <w:r>
        <w:rPr>
          <w:rFonts w:ascii="Arial" w:hAnsi="Arial"/>
          <w:color w:val="17212B"/>
          <w:sz w:val="21"/>
        </w:rPr>
        <w:t xml:space="preserve"> strong adoption, manageable edits, full traceability and no material control issues.</w:t>
      </w:r>
    </w:p>
    <w:p>
      <w:pPr>
        <w:pStyle w:val="Heading2"/>
      </w:pPr>
      <w:r>
        <w:t>Stage three: Remember</w:t>
      </w:r>
    </w:p>
    <w:p>
      <w:r>
        <w:rPr>
          <w:rFonts w:ascii="Arial" w:hAnsi="Arial"/>
          <w:color w:val="17212B"/>
          <w:sz w:val="21"/>
        </w:rPr>
        <w:t>Build the Client Agent and relationship memory. Resolve household and entity identity, ingest permitted events, establish the truth layer and run Client Agents in shadow before advisors rely on them. Give users transparent sources, freshness and simple correction tools. Create one relationship plan and one shared action state.</w:t>
      </w:r>
    </w:p>
    <w:p>
      <w:r>
        <w:rPr>
          <w:rFonts w:ascii="Arial" w:hAnsi="Arial"/>
          <w:b/>
          <w:color w:val="0B1F33"/>
          <w:sz w:val="21"/>
        </w:rPr>
        <w:t>The gate is memory trust:</w:t>
      </w:r>
      <w:r>
        <w:rPr>
          <w:rFonts w:ascii="Arial" w:hAnsi="Arial"/>
          <w:color w:val="17212B"/>
          <w:sz w:val="21"/>
        </w:rPr>
        <w:t xml:space="preserve"> correct permissions, provenance, freshness and low rates of material false inference.</w:t>
      </w:r>
    </w:p>
    <w:p>
      <w:pPr>
        <w:pStyle w:val="Heading2"/>
      </w:pPr>
      <w:r>
        <w:t>Stage four: Anticipate</w:t>
      </w:r>
    </w:p>
    <w:p>
      <w:r>
        <w:rPr>
          <w:rFonts w:ascii="Arial" w:hAnsi="Arial"/>
          <w:color w:val="17212B"/>
          <w:sz w:val="21"/>
        </w:rPr>
        <w:t>Use the Client Agent to power Autopilot, the day view, persistent monitoring, specialist matching, Hive and the first intelligent meeting pilots. Surface the few actions that matter, explain why they matter and prepare the response. Launch the Expertise Compiler so specialist thinking can be captured before full matching is scaled.</w:t>
      </w:r>
    </w:p>
    <w:p>
      <w:r>
        <w:rPr>
          <w:rFonts w:ascii="Arial" w:hAnsi="Arial"/>
          <w:b/>
          <w:color w:val="0B1F33"/>
          <w:sz w:val="21"/>
        </w:rPr>
        <w:t>The gate is relevance:</w:t>
      </w:r>
      <w:r>
        <w:rPr>
          <w:rFonts w:ascii="Arial" w:hAnsi="Arial"/>
          <w:color w:val="17212B"/>
          <w:sz w:val="21"/>
        </w:rPr>
        <w:t xml:space="preserve"> high signal, low noise, suitable matching and advisor confidence.</w:t>
      </w:r>
    </w:p>
    <w:p>
      <w:pPr>
        <w:pStyle w:val="Heading2"/>
      </w:pPr>
      <w:r>
        <w:t>Stage five: Act</w:t>
      </w:r>
    </w:p>
    <w:p>
      <w:r>
        <w:rPr>
          <w:rFonts w:ascii="Arial" w:hAnsi="Arial"/>
          <w:color w:val="17212B"/>
          <w:sz w:val="21"/>
        </w:rPr>
        <w:t>Advance selected workflows from prepare-only to execute-with-approval, then to bounded execution where evidence supports it. Begin with low-risk, reversible processes. Give operations an exception console with full history and recommended resolution. Scale the smartest room from preparation and recap into live analysis and approved follow-through. Extend trusted capabilities into the client companion.</w:t>
      </w:r>
    </w:p>
    <w:p>
      <w:r>
        <w:rPr>
          <w:rFonts w:ascii="Arial" w:hAnsi="Arial"/>
          <w:b/>
          <w:color w:val="0B1F33"/>
          <w:sz w:val="21"/>
        </w:rPr>
        <w:t>The gate is action integrity:</w:t>
      </w:r>
      <w:r>
        <w:rPr>
          <w:rFonts w:ascii="Arial" w:hAnsi="Arial"/>
          <w:color w:val="17212B"/>
          <w:sz w:val="21"/>
        </w:rPr>
        <w:t xml:space="preserve"> accurate completion, strong approval controls, manageable exceptions, reversibility and operational resilience.</w:t>
      </w:r>
    </w:p>
    <w:p>
      <w:pPr>
        <w:pStyle w:val="Heading2"/>
      </w:pPr>
      <w:r>
        <w:t>Stage six: Learn</w:t>
      </w:r>
    </w:p>
    <w:p>
      <w:r>
        <w:rPr>
          <w:rFonts w:ascii="Arial" w:hAnsi="Arial"/>
          <w:color w:val="17212B"/>
          <w:sz w:val="21"/>
        </w:rPr>
        <w:t>Connect actions to outcomes. Scale Power Friday, the Simulation Academy and the Foundry. Turn successful specialist ideas and operational resolutions into improved skills. Use outcomes to improve recommendations, controls and autonomy decisions. Learning begins in stage one through telemetry, but becomes a compounding operating system only after the preceding layers are connected.</w:t>
      </w:r>
    </w:p>
    <w:p>
      <w:r>
        <w:rPr>
          <w:rFonts w:ascii="Arial" w:hAnsi="Arial"/>
          <w:color w:val="17212B"/>
          <w:sz w:val="21"/>
        </w:rPr>
        <w:t>The gate is sustained improvement in client, employee and control outcomes, not simply greater model activity.</w:t>
      </w:r>
    </w:p>
    <w:p>
      <w:r>
        <w:rPr>
          <w:rFonts w:ascii="Arial" w:hAnsi="Arial"/>
          <w:color w:val="17212B"/>
          <w:sz w:val="21"/>
        </w:rPr>
        <w:t>Five lighthouse journeys should guide the build:</w:t>
      </w:r>
    </w:p>
    <w:p>
      <w:pPr>
        <w:spacing w:after="80" w:line="269" w:lineRule="auto"/>
        <w:ind w:left="540" w:hanging="271"/>
      </w:pPr>
      <w:r>
        <w:rPr>
          <w:rFonts w:ascii="Arial" w:hAnsi="Arial"/>
          <w:color w:val="17212B"/>
          <w:sz w:val="21"/>
        </w:rPr>
        <w:t xml:space="preserve">1. </w:t>
      </w:r>
      <w:r>
        <w:rPr>
          <w:rFonts w:ascii="Arial" w:hAnsi="Arial"/>
          <w:color w:val="17212B"/>
          <w:sz w:val="21"/>
        </w:rPr>
        <w:t>Meeting to action: preparation, live intelligence, commitments, follow-up and execution.</w:t>
      </w:r>
    </w:p>
    <w:p>
      <w:pPr>
        <w:spacing w:after="80" w:line="269" w:lineRule="auto"/>
        <w:ind w:left="540" w:hanging="271"/>
      </w:pPr>
      <w:r>
        <w:rPr>
          <w:rFonts w:ascii="Arial" w:hAnsi="Arial"/>
          <w:color w:val="17212B"/>
          <w:sz w:val="21"/>
        </w:rPr>
        <w:t xml:space="preserve">2. </w:t>
      </w:r>
      <w:r>
        <w:rPr>
          <w:rFonts w:ascii="Arial" w:hAnsi="Arial"/>
          <w:color w:val="17212B"/>
          <w:sz w:val="21"/>
        </w:rPr>
        <w:t>Idea to client: specialist thought, approved thesis, client matching, outreach and outcome.</w:t>
      </w:r>
    </w:p>
    <w:p>
      <w:pPr>
        <w:spacing w:after="80" w:line="269" w:lineRule="auto"/>
        <w:ind w:left="540" w:hanging="271"/>
      </w:pPr>
      <w:r>
        <w:rPr>
          <w:rFonts w:ascii="Arial" w:hAnsi="Arial"/>
          <w:color w:val="17212B"/>
          <w:sz w:val="21"/>
        </w:rPr>
        <w:t xml:space="preserve">3. </w:t>
      </w:r>
      <w:r>
        <w:rPr>
          <w:rFonts w:ascii="Arial" w:hAnsi="Arial"/>
          <w:color w:val="17212B"/>
          <w:sz w:val="21"/>
        </w:rPr>
        <w:t>Inbox to completion: request detection, preparation, approval, workflow and closure.</w:t>
      </w:r>
    </w:p>
    <w:p>
      <w:pPr>
        <w:spacing w:after="80" w:line="269" w:lineRule="auto"/>
        <w:ind w:left="540" w:hanging="271"/>
      </w:pPr>
      <w:r>
        <w:rPr>
          <w:rFonts w:ascii="Arial" w:hAnsi="Arial"/>
          <w:color w:val="17212B"/>
          <w:sz w:val="21"/>
        </w:rPr>
        <w:t xml:space="preserve">4. </w:t>
      </w:r>
      <w:r>
        <w:rPr>
          <w:rFonts w:ascii="Arial" w:hAnsi="Arial"/>
          <w:color w:val="17212B"/>
          <w:sz w:val="21"/>
        </w:rPr>
        <w:t>Client request to resolution: intent, verification, execution, exception and status.</w:t>
      </w:r>
    </w:p>
    <w:p>
      <w:pPr>
        <w:spacing w:after="80" w:line="269" w:lineRule="auto"/>
        <w:ind w:left="540" w:hanging="271"/>
      </w:pPr>
      <w:r>
        <w:rPr>
          <w:rFonts w:ascii="Arial" w:hAnsi="Arial"/>
          <w:color w:val="17212B"/>
          <w:sz w:val="21"/>
        </w:rPr>
        <w:t xml:space="preserve">5. </w:t>
      </w:r>
      <w:r>
        <w:rPr>
          <w:rFonts w:ascii="Arial" w:hAnsi="Arial"/>
          <w:color w:val="17212B"/>
          <w:sz w:val="21"/>
        </w:rPr>
        <w:t>Week to improvement: work signals, reflection, practice, application and measured development.</w:t>
      </w:r>
    </w:p>
    <w:p>
      <w:r>
        <w:rPr>
          <w:rFonts w:ascii="Arial" w:hAnsi="Arial"/>
          <w:color w:val="17212B"/>
          <w:sz w:val="21"/>
        </w:rPr>
        <w:t>Each journey proves and strengthens the same shared platform.</w:t>
      </w:r>
    </w:p>
    <w:p>
      <w:pPr>
        <w:pStyle w:val="Heading1"/>
      </w:pPr>
      <w:r>
        <w:t>12. HOW WE WILL KNOW IT IS WORKING</w:t>
      </w:r>
    </w:p>
    <w:p>
      <w:r>
        <w:rPr>
          <w:rFonts w:ascii="Arial" w:hAnsi="Arial"/>
          <w:color w:val="17212B"/>
          <w:sz w:val="21"/>
        </w:rPr>
        <w:t>Success should not be measured primarily by prompts, logins, model calls, agent counts or hours of automated activity. Those are operating indicators, not outcomes.</w:t>
      </w:r>
    </w:p>
    <w:p>
      <w:r>
        <w:rPr>
          <w:rFonts w:ascii="Arial" w:hAnsi="Arial"/>
          <w:color w:val="17212B"/>
          <w:sz w:val="21"/>
        </w:rPr>
        <w:t>The scorecard should answer whether we are delivering more timely, relevant and trusted outcomes for clients while strengthening the franchise.</w:t>
      </w:r>
    </w:p>
    <w:p>
      <w:pPr>
        <w:pStyle w:val="Heading2"/>
      </w:pPr>
      <w:r>
        <w:t>Client outcomes</w:t>
      </w:r>
    </w:p>
    <w:p>
      <w:pPr>
        <w:spacing w:after="80" w:line="269" w:lineRule="auto"/>
        <w:ind w:left="540" w:hanging="271"/>
      </w:pPr>
      <w:r>
        <w:rPr>
          <w:rFonts w:ascii="Arial" w:hAnsi="Arial"/>
          <w:b/>
          <w:color w:val="C45A2A"/>
          <w:sz w:val="21"/>
        </w:rPr>
        <w:t xml:space="preserve">• </w:t>
      </w:r>
      <w:r>
        <w:rPr>
          <w:rFonts w:ascii="Arial" w:hAnsi="Arial"/>
          <w:color w:val="17212B"/>
          <w:sz w:val="21"/>
        </w:rPr>
        <w:t>Needs identified earlier.</w:t>
      </w:r>
    </w:p>
    <w:p>
      <w:pPr>
        <w:spacing w:after="80" w:line="269" w:lineRule="auto"/>
        <w:ind w:left="540" w:hanging="271"/>
      </w:pPr>
      <w:r>
        <w:rPr>
          <w:rFonts w:ascii="Arial" w:hAnsi="Arial"/>
          <w:b/>
          <w:color w:val="C45A2A"/>
          <w:sz w:val="21"/>
        </w:rPr>
        <w:t xml:space="preserve">• </w:t>
      </w:r>
      <w:r>
        <w:rPr>
          <w:rFonts w:ascii="Arial" w:hAnsi="Arial"/>
          <w:color w:val="17212B"/>
          <w:sz w:val="21"/>
        </w:rPr>
        <w:t>Advice more relevant and personalized.</w:t>
      </w:r>
    </w:p>
    <w:p>
      <w:pPr>
        <w:spacing w:after="80" w:line="269" w:lineRule="auto"/>
        <w:ind w:left="540" w:hanging="271"/>
      </w:pPr>
      <w:r>
        <w:rPr>
          <w:rFonts w:ascii="Arial" w:hAnsi="Arial"/>
          <w:b/>
          <w:color w:val="C45A2A"/>
          <w:sz w:val="21"/>
        </w:rPr>
        <w:t xml:space="preserve">• </w:t>
      </w:r>
      <w:r>
        <w:rPr>
          <w:rFonts w:ascii="Arial" w:hAnsi="Arial"/>
          <w:color w:val="17212B"/>
          <w:sz w:val="21"/>
        </w:rPr>
        <w:t>Requests completed faster.</w:t>
      </w:r>
    </w:p>
    <w:p>
      <w:pPr>
        <w:spacing w:after="80" w:line="269" w:lineRule="auto"/>
        <w:ind w:left="540" w:hanging="271"/>
      </w:pPr>
      <w:r>
        <w:rPr>
          <w:rFonts w:ascii="Arial" w:hAnsi="Arial"/>
          <w:b/>
          <w:color w:val="C45A2A"/>
          <w:sz w:val="21"/>
        </w:rPr>
        <w:t xml:space="preserve">• </w:t>
      </w:r>
      <w:r>
        <w:rPr>
          <w:rFonts w:ascii="Arial" w:hAnsi="Arial"/>
          <w:color w:val="17212B"/>
          <w:sz w:val="21"/>
        </w:rPr>
        <w:t>Meeting decisions advanced more effectively.</w:t>
      </w:r>
    </w:p>
    <w:p>
      <w:pPr>
        <w:spacing w:after="80" w:line="269" w:lineRule="auto"/>
        <w:ind w:left="540" w:hanging="271"/>
      </w:pPr>
      <w:r>
        <w:rPr>
          <w:rFonts w:ascii="Arial" w:hAnsi="Arial"/>
          <w:b/>
          <w:color w:val="C45A2A"/>
          <w:sz w:val="21"/>
        </w:rPr>
        <w:t xml:space="preserve">• </w:t>
      </w:r>
      <w:r>
        <w:rPr>
          <w:rFonts w:ascii="Arial" w:hAnsi="Arial"/>
          <w:color w:val="17212B"/>
          <w:sz w:val="21"/>
        </w:rPr>
        <w:t>Relationships deepening and growing.</w:t>
      </w:r>
    </w:p>
    <w:p>
      <w:pPr>
        <w:spacing w:after="80" w:line="269" w:lineRule="auto"/>
        <w:ind w:left="540" w:hanging="271"/>
      </w:pPr>
      <w:r>
        <w:rPr>
          <w:rFonts w:ascii="Arial" w:hAnsi="Arial"/>
          <w:b/>
          <w:color w:val="C45A2A"/>
          <w:sz w:val="21"/>
        </w:rPr>
        <w:t xml:space="preserve">• </w:t>
      </w:r>
      <w:r>
        <w:rPr>
          <w:rFonts w:ascii="Arial" w:hAnsi="Arial"/>
          <w:color w:val="17212B"/>
          <w:sz w:val="21"/>
        </w:rPr>
        <w:t>Stronger client experience and trust.</w:t>
      </w:r>
    </w:p>
    <w:p>
      <w:pPr>
        <w:pStyle w:val="Heading2"/>
      </w:pPr>
      <w:r>
        <w:t>Relationship discipline</w:t>
      </w:r>
    </w:p>
    <w:p>
      <w:pPr>
        <w:spacing w:after="80" w:line="269" w:lineRule="auto"/>
        <w:ind w:left="540" w:hanging="271"/>
      </w:pPr>
      <w:r>
        <w:rPr>
          <w:rFonts w:ascii="Arial" w:hAnsi="Arial"/>
          <w:b/>
          <w:color w:val="C45A2A"/>
          <w:sz w:val="21"/>
        </w:rPr>
        <w:t xml:space="preserve">• </w:t>
      </w:r>
      <w:r>
        <w:rPr>
          <w:rFonts w:ascii="Arial" w:hAnsi="Arial"/>
          <w:color w:val="17212B"/>
          <w:sz w:val="21"/>
        </w:rPr>
        <w:t>Fewer commitments missed.</w:t>
      </w:r>
    </w:p>
    <w:p>
      <w:pPr>
        <w:spacing w:after="80" w:line="269" w:lineRule="auto"/>
        <w:ind w:left="540" w:hanging="271"/>
      </w:pPr>
      <w:r>
        <w:rPr>
          <w:rFonts w:ascii="Arial" w:hAnsi="Arial"/>
          <w:b/>
          <w:color w:val="C45A2A"/>
          <w:sz w:val="21"/>
        </w:rPr>
        <w:t xml:space="preserve">• </w:t>
      </w:r>
      <w:r>
        <w:rPr>
          <w:rFonts w:ascii="Arial" w:hAnsi="Arial"/>
          <w:color w:val="17212B"/>
          <w:sz w:val="21"/>
        </w:rPr>
        <w:t>Less duplicated or conflicting outreach.</w:t>
      </w:r>
    </w:p>
    <w:p>
      <w:pPr>
        <w:spacing w:after="80" w:line="269" w:lineRule="auto"/>
        <w:ind w:left="540" w:hanging="271"/>
      </w:pPr>
      <w:r>
        <w:rPr>
          <w:rFonts w:ascii="Arial" w:hAnsi="Arial"/>
          <w:b/>
          <w:color w:val="C45A2A"/>
          <w:sz w:val="21"/>
        </w:rPr>
        <w:t xml:space="preserve">• </w:t>
      </w:r>
      <w:r>
        <w:rPr>
          <w:rFonts w:ascii="Arial" w:hAnsi="Arial"/>
          <w:color w:val="17212B"/>
          <w:sz w:val="21"/>
        </w:rPr>
        <w:t>More complete and current relationship context.</w:t>
      </w:r>
    </w:p>
    <w:p>
      <w:pPr>
        <w:spacing w:after="80" w:line="269" w:lineRule="auto"/>
        <w:ind w:left="540" w:hanging="271"/>
      </w:pPr>
      <w:r>
        <w:rPr>
          <w:rFonts w:ascii="Arial" w:hAnsi="Arial"/>
          <w:b/>
          <w:color w:val="C45A2A"/>
          <w:sz w:val="21"/>
        </w:rPr>
        <w:t xml:space="preserve">• </w:t>
      </w:r>
      <w:r>
        <w:rPr>
          <w:rFonts w:ascii="Arial" w:hAnsi="Arial"/>
          <w:color w:val="17212B"/>
          <w:sz w:val="21"/>
        </w:rPr>
        <w:t>Better continuity across teams and generations.</w:t>
      </w:r>
    </w:p>
    <w:p>
      <w:pPr>
        <w:pStyle w:val="Heading2"/>
      </w:pPr>
      <w:r>
        <w:t>Employee outcomes</w:t>
      </w:r>
    </w:p>
    <w:p>
      <w:pPr>
        <w:spacing w:after="80" w:line="269" w:lineRule="auto"/>
        <w:ind w:left="540" w:hanging="271"/>
      </w:pPr>
      <w:r>
        <w:rPr>
          <w:rFonts w:ascii="Arial" w:hAnsi="Arial"/>
          <w:b/>
          <w:color w:val="C45A2A"/>
          <w:sz w:val="21"/>
        </w:rPr>
        <w:t xml:space="preserve">• </w:t>
      </w:r>
      <w:r>
        <w:rPr>
          <w:rFonts w:ascii="Arial" w:hAnsi="Arial"/>
          <w:color w:val="17212B"/>
          <w:sz w:val="21"/>
        </w:rPr>
        <w:t>More time spent with clients and on judgment.</w:t>
      </w:r>
    </w:p>
    <w:p>
      <w:pPr>
        <w:spacing w:after="80" w:line="269" w:lineRule="auto"/>
        <w:ind w:left="540" w:hanging="271"/>
      </w:pPr>
      <w:r>
        <w:rPr>
          <w:rFonts w:ascii="Arial" w:hAnsi="Arial"/>
          <w:b/>
          <w:color w:val="C45A2A"/>
          <w:sz w:val="21"/>
        </w:rPr>
        <w:t xml:space="preserve">• </w:t>
      </w:r>
      <w:r>
        <w:rPr>
          <w:rFonts w:ascii="Arial" w:hAnsi="Arial"/>
          <w:color w:val="17212B"/>
          <w:sz w:val="21"/>
        </w:rPr>
        <w:t>Higher use of prepared work that employees find valuable.</w:t>
      </w:r>
    </w:p>
    <w:p>
      <w:pPr>
        <w:spacing w:after="80" w:line="269" w:lineRule="auto"/>
        <w:ind w:left="540" w:hanging="271"/>
      </w:pPr>
      <w:r>
        <w:rPr>
          <w:rFonts w:ascii="Arial" w:hAnsi="Arial"/>
          <w:b/>
          <w:color w:val="C45A2A"/>
          <w:sz w:val="21"/>
        </w:rPr>
        <w:t xml:space="preserve">• </w:t>
      </w:r>
      <w:r>
        <w:rPr>
          <w:rFonts w:ascii="Arial" w:hAnsi="Arial"/>
          <w:color w:val="17212B"/>
          <w:sz w:val="21"/>
        </w:rPr>
        <w:t>Faster access to specialist expertise.</w:t>
      </w:r>
    </w:p>
    <w:p>
      <w:pPr>
        <w:spacing w:after="80" w:line="269" w:lineRule="auto"/>
        <w:ind w:left="540" w:hanging="271"/>
      </w:pPr>
      <w:r>
        <w:rPr>
          <w:rFonts w:ascii="Arial" w:hAnsi="Arial"/>
          <w:b/>
          <w:color w:val="C45A2A"/>
          <w:sz w:val="21"/>
        </w:rPr>
        <w:t xml:space="preserve">• </w:t>
      </w:r>
      <w:r>
        <w:rPr>
          <w:rFonts w:ascii="Arial" w:hAnsi="Arial"/>
          <w:color w:val="17212B"/>
          <w:sz w:val="21"/>
        </w:rPr>
        <w:t>Broader adoption of certified skills.</w:t>
      </w:r>
    </w:p>
    <w:p>
      <w:pPr>
        <w:spacing w:after="80" w:line="269" w:lineRule="auto"/>
        <w:ind w:left="540" w:hanging="271"/>
      </w:pPr>
      <w:r>
        <w:rPr>
          <w:rFonts w:ascii="Arial" w:hAnsi="Arial"/>
          <w:b/>
          <w:color w:val="C45A2A"/>
          <w:sz w:val="21"/>
        </w:rPr>
        <w:t xml:space="preserve">• </w:t>
      </w:r>
      <w:r>
        <w:rPr>
          <w:rFonts w:ascii="Arial" w:hAnsi="Arial"/>
          <w:color w:val="17212B"/>
          <w:sz w:val="21"/>
        </w:rPr>
        <w:t>Employees improving capabilities week by week.</w:t>
      </w:r>
    </w:p>
    <w:p>
      <w:pPr>
        <w:spacing w:after="80" w:line="269" w:lineRule="auto"/>
        <w:ind w:left="540" w:hanging="271"/>
      </w:pPr>
      <w:r>
        <w:rPr>
          <w:rFonts w:ascii="Arial" w:hAnsi="Arial"/>
          <w:b/>
          <w:color w:val="C45A2A"/>
          <w:sz w:val="21"/>
        </w:rPr>
        <w:t xml:space="preserve">• </w:t>
      </w:r>
      <w:r>
        <w:rPr>
          <w:rFonts w:ascii="Arial" w:hAnsi="Arial"/>
          <w:color w:val="17212B"/>
          <w:sz w:val="21"/>
        </w:rPr>
        <w:t>Analysts becoming client-ready faster.</w:t>
      </w:r>
    </w:p>
    <w:p>
      <w:pPr>
        <w:pStyle w:val="Heading2"/>
      </w:pPr>
      <w:r>
        <w:t>Specialist outcomes</w:t>
      </w:r>
    </w:p>
    <w:p>
      <w:pPr>
        <w:spacing w:after="80" w:line="269" w:lineRule="auto"/>
        <w:ind w:left="540" w:hanging="271"/>
      </w:pPr>
      <w:r>
        <w:rPr>
          <w:rFonts w:ascii="Arial" w:hAnsi="Arial"/>
          <w:b/>
          <w:color w:val="C45A2A"/>
          <w:sz w:val="21"/>
        </w:rPr>
        <w:t xml:space="preserve">• </w:t>
      </w:r>
      <w:r>
        <w:rPr>
          <w:rFonts w:ascii="Arial" w:hAnsi="Arial"/>
          <w:color w:val="17212B"/>
          <w:sz w:val="21"/>
        </w:rPr>
        <w:t>Relevant relationships reached per idea.</w:t>
      </w:r>
    </w:p>
    <w:p>
      <w:pPr>
        <w:spacing w:after="80" w:line="269" w:lineRule="auto"/>
        <w:ind w:left="540" w:hanging="271"/>
      </w:pPr>
      <w:r>
        <w:rPr>
          <w:rFonts w:ascii="Arial" w:hAnsi="Arial"/>
          <w:b/>
          <w:color w:val="C45A2A"/>
          <w:sz w:val="21"/>
        </w:rPr>
        <w:t xml:space="preserve">• </w:t>
      </w:r>
      <w:r>
        <w:rPr>
          <w:rFonts w:ascii="Arial" w:hAnsi="Arial"/>
          <w:color w:val="17212B"/>
          <w:sz w:val="21"/>
        </w:rPr>
        <w:t>Faster movement from insight to client conversation.</w:t>
      </w:r>
    </w:p>
    <w:p>
      <w:pPr>
        <w:spacing w:after="80" w:line="269" w:lineRule="auto"/>
        <w:ind w:left="540" w:hanging="271"/>
      </w:pPr>
      <w:r>
        <w:rPr>
          <w:rFonts w:ascii="Arial" w:hAnsi="Arial"/>
          <w:b/>
          <w:color w:val="C45A2A"/>
          <w:sz w:val="21"/>
        </w:rPr>
        <w:t xml:space="preserve">• </w:t>
      </w:r>
      <w:r>
        <w:rPr>
          <w:rFonts w:ascii="Arial" w:hAnsi="Arial"/>
          <w:color w:val="17212B"/>
          <w:sz w:val="21"/>
        </w:rPr>
        <w:t>Better feedback from questions, adoption and outcomes.</w:t>
      </w:r>
    </w:p>
    <w:p>
      <w:pPr>
        <w:spacing w:after="80" w:line="269" w:lineRule="auto"/>
        <w:ind w:left="540" w:hanging="271"/>
      </w:pPr>
      <w:r>
        <w:rPr>
          <w:rFonts w:ascii="Arial" w:hAnsi="Arial"/>
          <w:b/>
          <w:color w:val="C45A2A"/>
          <w:sz w:val="21"/>
        </w:rPr>
        <w:t xml:space="preserve">• </w:t>
      </w:r>
      <w:r>
        <w:rPr>
          <w:rFonts w:ascii="Arial" w:hAnsi="Arial"/>
          <w:color w:val="17212B"/>
          <w:sz w:val="21"/>
        </w:rPr>
        <w:t>More expertise converted into reusable firm capabilities.</w:t>
      </w:r>
    </w:p>
    <w:p>
      <w:pPr>
        <w:pStyle w:val="Heading2"/>
      </w:pPr>
      <w:r>
        <w:t>Operational and control outcomes</w:t>
      </w:r>
    </w:p>
    <w:p>
      <w:pPr>
        <w:spacing w:after="80" w:line="269" w:lineRule="auto"/>
        <w:ind w:left="540" w:hanging="271"/>
      </w:pPr>
      <w:r>
        <w:rPr>
          <w:rFonts w:ascii="Arial" w:hAnsi="Arial"/>
          <w:b/>
          <w:color w:val="C45A2A"/>
          <w:sz w:val="21"/>
        </w:rPr>
        <w:t xml:space="preserve">• </w:t>
      </w:r>
      <w:r>
        <w:rPr>
          <w:rFonts w:ascii="Arial" w:hAnsi="Arial"/>
          <w:color w:val="17212B"/>
          <w:sz w:val="21"/>
        </w:rPr>
        <w:t>Lower request-to-completion times.</w:t>
      </w:r>
    </w:p>
    <w:p>
      <w:pPr>
        <w:spacing w:after="80" w:line="269" w:lineRule="auto"/>
        <w:ind w:left="540" w:hanging="271"/>
      </w:pPr>
      <w:r>
        <w:rPr>
          <w:rFonts w:ascii="Arial" w:hAnsi="Arial"/>
          <w:b/>
          <w:color w:val="C45A2A"/>
          <w:sz w:val="21"/>
        </w:rPr>
        <w:t xml:space="preserve">• </w:t>
      </w:r>
      <w:r>
        <w:rPr>
          <w:rFonts w:ascii="Arial" w:hAnsi="Arial"/>
          <w:color w:val="17212B"/>
          <w:sz w:val="21"/>
        </w:rPr>
        <w:t>Fewer manual handoffs and avoidable exceptions.</w:t>
      </w:r>
    </w:p>
    <w:p>
      <w:pPr>
        <w:spacing w:after="80" w:line="269" w:lineRule="auto"/>
        <w:ind w:left="540" w:hanging="271"/>
      </w:pPr>
      <w:r>
        <w:rPr>
          <w:rFonts w:ascii="Arial" w:hAnsi="Arial"/>
          <w:b/>
          <w:color w:val="C45A2A"/>
          <w:sz w:val="21"/>
        </w:rPr>
        <w:t xml:space="preserve">• </w:t>
      </w:r>
      <w:r>
        <w:rPr>
          <w:rFonts w:ascii="Arial" w:hAnsi="Arial"/>
          <w:color w:val="17212B"/>
          <w:sz w:val="21"/>
        </w:rPr>
        <w:t>Higher straight-through completion where approved.</w:t>
      </w:r>
    </w:p>
    <w:p>
      <w:pPr>
        <w:spacing w:after="80" w:line="269" w:lineRule="auto"/>
        <w:ind w:left="540" w:hanging="271"/>
      </w:pPr>
      <w:r>
        <w:rPr>
          <w:rFonts w:ascii="Arial" w:hAnsi="Arial"/>
          <w:b/>
          <w:color w:val="C45A2A"/>
          <w:sz w:val="21"/>
        </w:rPr>
        <w:t xml:space="preserve">• </w:t>
      </w:r>
      <w:r>
        <w:rPr>
          <w:rFonts w:ascii="Arial" w:hAnsi="Arial"/>
          <w:color w:val="17212B"/>
          <w:sz w:val="21"/>
        </w:rPr>
        <w:t>Stable or improving error and incident rates as autonomy grows.</w:t>
      </w:r>
    </w:p>
    <w:p>
      <w:pPr>
        <w:spacing w:after="80" w:line="269" w:lineRule="auto"/>
        <w:ind w:left="540" w:hanging="271"/>
      </w:pPr>
      <w:r>
        <w:rPr>
          <w:rFonts w:ascii="Arial" w:hAnsi="Arial"/>
          <w:b/>
          <w:color w:val="C45A2A"/>
          <w:sz w:val="21"/>
        </w:rPr>
        <w:t xml:space="preserve">• </w:t>
      </w:r>
      <w:r>
        <w:rPr>
          <w:rFonts w:ascii="Arial" w:hAnsi="Arial"/>
          <w:color w:val="17212B"/>
          <w:sz w:val="21"/>
        </w:rPr>
        <w:t>Complete auditability and rapid containment when something fails.</w:t>
      </w:r>
    </w:p>
    <w:p>
      <w:r>
        <w:rPr>
          <w:rFonts w:ascii="Arial" w:hAnsi="Arial"/>
          <w:color w:val="17212B"/>
          <w:sz w:val="21"/>
        </w:rPr>
        <w:t>Progression from one autonomy level to another should be gated by evidence for each workflow. Funding should also follow evidence. Early capacity and client-experience wins should support the next layer of platform investment.</w:t>
      </w:r>
    </w:p>
    <w:p>
      <w:pPr>
        <w:pStyle w:val="Heading1"/>
      </w:pPr>
      <w:r>
        <w:t>13. WHAT COULD MAKE THIS FAIL</w:t>
      </w:r>
    </w:p>
    <w:p>
      <w:r>
        <w:rPr>
          <w:rFonts w:ascii="Arial" w:hAnsi="Arial"/>
          <w:color w:val="17212B"/>
          <w:sz w:val="21"/>
        </w:rPr>
        <w:t>Adoption stalls. The answer is not more communication. Coach must be good enough that employees miss it when it is unavailable. Rollout should be desk by desk, with champions, visible feedback loops and experiences tailored to real work.</w:t>
      </w:r>
    </w:p>
    <w:p>
      <w:r>
        <w:rPr>
          <w:rFonts w:ascii="Arial" w:hAnsi="Arial"/>
          <w:color w:val="17212B"/>
          <w:sz w:val="21"/>
        </w:rPr>
        <w:t>The data disappoints. Fragmented identity, weak entitlements or incomplete events will undermine every proactive use case. Client identity, transcription, consent and data quality must be treated as named foundation workstreams.</w:t>
      </w:r>
    </w:p>
    <w:p>
      <w:r>
        <w:rPr>
          <w:rFonts w:ascii="Arial" w:hAnsi="Arial"/>
          <w:color w:val="17212B"/>
          <w:sz w:val="21"/>
        </w:rPr>
        <w:t>Memory becomes stale or wrong. The answer is the truth layer, sources, expiration and focused advisor validation.</w:t>
      </w:r>
    </w:p>
    <w:p>
      <w:r>
        <w:rPr>
          <w:rFonts w:ascii="Arial" w:hAnsi="Arial"/>
          <w:color w:val="17212B"/>
          <w:sz w:val="21"/>
        </w:rPr>
        <w:t>The experience creates noise. The attention engine must optimize for the few interventions that can change an outcome, not the greatest number of notifications.</w:t>
      </w:r>
    </w:p>
    <w:p>
      <w:r>
        <w:rPr>
          <w:rFonts w:ascii="Arial" w:hAnsi="Arial"/>
          <w:color w:val="17212B"/>
          <w:sz w:val="21"/>
        </w:rPr>
        <w:t>Coaching feels like surveillance. Power Friday must remain private by default, correctable by the employee and clearly separated from formal performance management.</w:t>
      </w:r>
    </w:p>
    <w:p>
      <w:r>
        <w:rPr>
          <w:rFonts w:ascii="Arial" w:hAnsi="Arial"/>
          <w:color w:val="17212B"/>
          <w:sz w:val="21"/>
        </w:rPr>
        <w:t>Specialists do not contribute. Attribution, recognition and visible outcome feedback should make contribution worthwhile. The experience of sharing an idea must take minutes, not hours.</w:t>
      </w:r>
    </w:p>
    <w:p>
      <w:r>
        <w:rPr>
          <w:rFonts w:ascii="Arial" w:hAnsi="Arial"/>
          <w:color w:val="17212B"/>
          <w:sz w:val="21"/>
        </w:rPr>
        <w:t>Judgment weakens as assembly work declines. The Simulation Academy and real apprenticeship must develop judgment deliberately instead of assuming it will emerge by accident.</w:t>
      </w:r>
    </w:p>
    <w:p>
      <w:r>
        <w:rPr>
          <w:rFonts w:ascii="Arial" w:hAnsi="Arial"/>
          <w:color w:val="17212B"/>
          <w:sz w:val="21"/>
        </w:rPr>
        <w:t>A control or partitioning incident damages trust. Entitlements, household partitions, red-team testing, narrow autonomy and rehearsed shutdown controls must precede scale.</w:t>
      </w:r>
    </w:p>
    <w:p>
      <w:r>
        <w:rPr>
          <w:rFonts w:ascii="Arial" w:hAnsi="Arial"/>
          <w:color w:val="17212B"/>
          <w:sz w:val="21"/>
        </w:rPr>
        <w:t>The platform fragments. Coach must remain the orchestrator, the Foundry the certification gate, and shared services the default. New surfaces should not create new memories, action models or control systems.</w:t>
      </w:r>
    </w:p>
    <w:p>
      <w:r>
        <w:rPr>
          <w:rFonts w:ascii="Arial" w:hAnsi="Arial"/>
          <w:color w:val="17212B"/>
          <w:sz w:val="21"/>
        </w:rPr>
        <w:t>The organization loses patience during foundation work. The first part of the curve will look slower because data, permissions, reliability and controls are being built. That is what makes acceleration possible later. Lighthouse journeys and visible capacity wins are how we maintain confidence without skipping the foundation.</w:t>
      </w:r>
    </w:p>
    <w:p>
      <w:pPr>
        <w:pStyle w:val="Heading1"/>
      </w:pPr>
      <w:r>
        <w:t>14. DECISIONS FOR LEADERSHIP</w:t>
      </w:r>
    </w:p>
    <w:p>
      <w:r>
        <w:rPr>
          <w:rFonts w:ascii="Arial" w:hAnsi="Arial"/>
          <w:color w:val="17212B"/>
          <w:sz w:val="21"/>
        </w:rPr>
        <w:t>Several decisions should be made early:</w:t>
      </w:r>
    </w:p>
    <w:p>
      <w:pPr>
        <w:spacing w:after="80" w:line="269" w:lineRule="auto"/>
        <w:ind w:left="540" w:hanging="271"/>
      </w:pPr>
      <w:r>
        <w:rPr>
          <w:rFonts w:ascii="Arial" w:hAnsi="Arial"/>
          <w:b/>
          <w:color w:val="C45A2A"/>
          <w:sz w:val="21"/>
        </w:rPr>
        <w:t xml:space="preserve">• </w:t>
      </w:r>
      <w:r>
        <w:rPr>
          <w:rFonts w:ascii="Arial" w:hAnsi="Arial"/>
          <w:color w:val="17212B"/>
          <w:sz w:val="21"/>
        </w:rPr>
        <w:t>The household permission and partitioning model.</w:t>
      </w:r>
    </w:p>
    <w:p>
      <w:pPr>
        <w:spacing w:after="80" w:line="269" w:lineRule="auto"/>
        <w:ind w:left="540" w:hanging="271"/>
      </w:pPr>
      <w:r>
        <w:rPr>
          <w:rFonts w:ascii="Arial" w:hAnsi="Arial"/>
          <w:b/>
          <w:color w:val="C45A2A"/>
          <w:sz w:val="21"/>
        </w:rPr>
        <w:t xml:space="preserve">• </w:t>
      </w:r>
      <w:r>
        <w:rPr>
          <w:rFonts w:ascii="Arial" w:hAnsi="Arial"/>
          <w:color w:val="17212B"/>
          <w:sz w:val="21"/>
        </w:rPr>
        <w:t>The ownership and service standards for the Client Agent and commitment ledger.</w:t>
      </w:r>
    </w:p>
    <w:p>
      <w:pPr>
        <w:spacing w:after="80" w:line="269" w:lineRule="auto"/>
        <w:ind w:left="540" w:hanging="271"/>
      </w:pPr>
      <w:r>
        <w:rPr>
          <w:rFonts w:ascii="Arial" w:hAnsi="Arial"/>
          <w:b/>
          <w:color w:val="C45A2A"/>
          <w:sz w:val="21"/>
        </w:rPr>
        <w:t xml:space="preserve">• </w:t>
      </w:r>
      <w:r>
        <w:rPr>
          <w:rFonts w:ascii="Arial" w:hAnsi="Arial"/>
          <w:color w:val="17212B"/>
          <w:sz w:val="21"/>
        </w:rPr>
        <w:t>The first lighthouse journey and pilot market.</w:t>
      </w:r>
    </w:p>
    <w:p>
      <w:pPr>
        <w:spacing w:after="80" w:line="269" w:lineRule="auto"/>
        <w:ind w:left="540" w:hanging="271"/>
      </w:pPr>
      <w:r>
        <w:rPr>
          <w:rFonts w:ascii="Arial" w:hAnsi="Arial"/>
          <w:b/>
          <w:color w:val="C45A2A"/>
          <w:sz w:val="21"/>
        </w:rPr>
        <w:t xml:space="preserve">• </w:t>
      </w:r>
      <w:r>
        <w:rPr>
          <w:rFonts w:ascii="Arial" w:hAnsi="Arial"/>
          <w:color w:val="17212B"/>
          <w:sz w:val="21"/>
        </w:rPr>
        <w:t>The first set of certified skills, chosen by client value, demand and capacity returned.</w:t>
      </w:r>
    </w:p>
    <w:p>
      <w:pPr>
        <w:spacing w:after="80" w:line="269" w:lineRule="auto"/>
        <w:ind w:left="540" w:hanging="271"/>
      </w:pPr>
      <w:r>
        <w:rPr>
          <w:rFonts w:ascii="Arial" w:hAnsi="Arial"/>
          <w:b/>
          <w:color w:val="C45A2A"/>
          <w:sz w:val="21"/>
        </w:rPr>
        <w:t xml:space="preserve">• </w:t>
      </w:r>
      <w:r>
        <w:rPr>
          <w:rFonts w:ascii="Arial" w:hAnsi="Arial"/>
          <w:color w:val="17212B"/>
          <w:sz w:val="21"/>
        </w:rPr>
        <w:t>The approval bar for each autonomy level and who signs it.</w:t>
      </w:r>
    </w:p>
    <w:p>
      <w:pPr>
        <w:spacing w:after="80" w:line="269" w:lineRule="auto"/>
        <w:ind w:left="540" w:hanging="271"/>
      </w:pPr>
      <w:r>
        <w:rPr>
          <w:rFonts w:ascii="Arial" w:hAnsi="Arial"/>
          <w:b/>
          <w:color w:val="C45A2A"/>
          <w:sz w:val="21"/>
        </w:rPr>
        <w:t xml:space="preserve">• </w:t>
      </w:r>
      <w:r>
        <w:rPr>
          <w:rFonts w:ascii="Arial" w:hAnsi="Arial"/>
          <w:color w:val="17212B"/>
          <w:sz w:val="21"/>
        </w:rPr>
        <w:t>The disclosure and consent standard for the meeting room and client companion.</w:t>
      </w:r>
    </w:p>
    <w:p>
      <w:pPr>
        <w:spacing w:after="80" w:line="269" w:lineRule="auto"/>
        <w:ind w:left="540" w:hanging="271"/>
      </w:pPr>
      <w:r>
        <w:rPr>
          <w:rFonts w:ascii="Arial" w:hAnsi="Arial"/>
          <w:b/>
          <w:color w:val="C45A2A"/>
          <w:sz w:val="21"/>
        </w:rPr>
        <w:t xml:space="preserve">• </w:t>
      </w:r>
      <w:r>
        <w:rPr>
          <w:rFonts w:ascii="Arial" w:hAnsi="Arial"/>
          <w:color w:val="17212B"/>
          <w:sz w:val="21"/>
        </w:rPr>
        <w:t>The privacy covenant and protected time for Power Friday.</w:t>
      </w:r>
    </w:p>
    <w:p>
      <w:pPr>
        <w:spacing w:after="80" w:line="269" w:lineRule="auto"/>
        <w:ind w:left="540" w:hanging="271"/>
      </w:pPr>
      <w:r>
        <w:rPr>
          <w:rFonts w:ascii="Arial" w:hAnsi="Arial"/>
          <w:b/>
          <w:color w:val="C45A2A"/>
          <w:sz w:val="21"/>
        </w:rPr>
        <w:t xml:space="preserve">• </w:t>
      </w:r>
      <w:r>
        <w:rPr>
          <w:rFonts w:ascii="Arial" w:hAnsi="Arial"/>
          <w:color w:val="17212B"/>
          <w:sz w:val="21"/>
        </w:rPr>
        <w:t>The authorship and recognition model for specialist views and skills.</w:t>
      </w:r>
    </w:p>
    <w:p>
      <w:pPr>
        <w:spacing w:after="80" w:line="269" w:lineRule="auto"/>
        <w:ind w:left="540" w:hanging="271"/>
      </w:pPr>
      <w:r>
        <w:rPr>
          <w:rFonts w:ascii="Arial" w:hAnsi="Arial"/>
          <w:b/>
          <w:color w:val="C45A2A"/>
          <w:sz w:val="21"/>
        </w:rPr>
        <w:t xml:space="preserve">• </w:t>
      </w:r>
      <w:r>
        <w:rPr>
          <w:rFonts w:ascii="Arial" w:hAnsi="Arial"/>
          <w:color w:val="17212B"/>
          <w:sz w:val="21"/>
        </w:rPr>
        <w:t>The design authority that prevents platform and experience fragmentation.</w:t>
      </w:r>
    </w:p>
    <w:p>
      <w:pPr>
        <w:spacing w:after="80" w:line="269" w:lineRule="auto"/>
        <w:ind w:left="540" w:hanging="271"/>
      </w:pPr>
      <w:r>
        <w:rPr>
          <w:rFonts w:ascii="Arial" w:hAnsi="Arial"/>
          <w:b/>
          <w:color w:val="C45A2A"/>
          <w:sz w:val="21"/>
        </w:rPr>
        <w:t xml:space="preserve">• </w:t>
      </w:r>
      <w:r>
        <w:rPr>
          <w:rFonts w:ascii="Arial" w:hAnsi="Arial"/>
          <w:color w:val="17212B"/>
          <w:sz w:val="21"/>
        </w:rPr>
        <w:t>The build, buy and model boundaries, including data-residency requirements.</w:t>
      </w:r>
    </w:p>
    <w:p>
      <w:pPr>
        <w:spacing w:after="80" w:line="269" w:lineRule="auto"/>
        <w:ind w:left="540" w:hanging="271"/>
      </w:pPr>
      <w:r>
        <w:rPr>
          <w:rFonts w:ascii="Arial" w:hAnsi="Arial"/>
          <w:b/>
          <w:color w:val="C45A2A"/>
          <w:sz w:val="21"/>
        </w:rPr>
        <w:t xml:space="preserve">• </w:t>
      </w:r>
      <w:r>
        <w:rPr>
          <w:rFonts w:ascii="Arial" w:hAnsi="Arial"/>
          <w:color w:val="17212B"/>
          <w:sz w:val="21"/>
        </w:rPr>
        <w:t>The measures and stage gates that determine when the roadmap advances.</w:t>
      </w:r>
    </w:p>
    <w:p>
      <w:pPr>
        <w:pStyle w:val="Heading1"/>
      </w:pPr>
      <w:r>
        <w:t>15. THE END STATE</w:t>
      </w:r>
    </w:p>
    <w:p>
      <w:r>
        <w:rPr>
          <w:rFonts w:ascii="Arial" w:hAnsi="Arial"/>
          <w:color w:val="17212B"/>
          <w:sz w:val="21"/>
        </w:rPr>
        <w:t>The objective is not a Private Bank filled with chatbots. It is a Private Bank that remembers, anticipates, coordinates, learns and acts as one.</w:t>
      </w:r>
    </w:p>
    <w:p>
      <w:r>
        <w:rPr>
          <w:rFonts w:ascii="Arial" w:hAnsi="Arial"/>
          <w:color w:val="17212B"/>
          <w:sz w:val="21"/>
        </w:rPr>
        <w:t>AI handles searching, assembling, monitoring, coordinating, preparing and routine execution. Our people spend more time on judgment, creativity, empathy, trust and the conversations only humans can lead.</w:t>
      </w:r>
    </w:p>
    <w:p>
      <w:r>
        <w:rPr>
          <w:rFonts w:ascii="Arial" w:hAnsi="Arial"/>
          <w:color w:val="17212B"/>
          <w:sz w:val="21"/>
        </w:rPr>
        <w:t>What does not change is the foundation of private banking: relationship, discretion, judgment and trust.</w:t>
      </w:r>
    </w:p>
    <w:p>
      <w:r>
        <w:rPr>
          <w:rFonts w:ascii="Arial" w:hAnsi="Arial"/>
          <w:color w:val="17212B"/>
          <w:sz w:val="21"/>
        </w:rPr>
        <w:t>At its best:</w:t>
      </w:r>
    </w:p>
    <w:p>
      <w:pPr>
        <w:spacing w:after="80" w:line="269" w:lineRule="auto"/>
        <w:ind w:left="540" w:hanging="271"/>
      </w:pPr>
      <w:r>
        <w:rPr>
          <w:rFonts w:ascii="Arial" w:hAnsi="Arial"/>
          <w:b/>
          <w:color w:val="C45A2A"/>
          <w:sz w:val="21"/>
        </w:rPr>
        <w:t xml:space="preserve">• </w:t>
      </w:r>
      <w:r>
        <w:rPr>
          <w:rFonts w:ascii="Arial" w:hAnsi="Arial"/>
          <w:color w:val="17212B"/>
          <w:sz w:val="21"/>
        </w:rPr>
        <w:t>Every client feels that the full firm is continuously working for them.</w:t>
      </w:r>
    </w:p>
    <w:p>
      <w:pPr>
        <w:spacing w:after="80" w:line="269" w:lineRule="auto"/>
        <w:ind w:left="540" w:hanging="271"/>
      </w:pPr>
      <w:r>
        <w:rPr>
          <w:rFonts w:ascii="Arial" w:hAnsi="Arial"/>
          <w:b/>
          <w:color w:val="C45A2A"/>
          <w:sz w:val="21"/>
        </w:rPr>
        <w:t xml:space="preserve">• </w:t>
      </w:r>
      <w:r>
        <w:rPr>
          <w:rFonts w:ascii="Arial" w:hAnsi="Arial"/>
          <w:color w:val="17212B"/>
          <w:sz w:val="21"/>
        </w:rPr>
        <w:t>Every employee has an always-on digital team supporting them.</w:t>
      </w:r>
    </w:p>
    <w:p>
      <w:pPr>
        <w:spacing w:after="80" w:line="269" w:lineRule="auto"/>
        <w:ind w:left="540" w:hanging="271"/>
      </w:pPr>
      <w:r>
        <w:rPr>
          <w:rFonts w:ascii="Arial" w:hAnsi="Arial"/>
          <w:b/>
          <w:color w:val="C45A2A"/>
          <w:sz w:val="21"/>
        </w:rPr>
        <w:t xml:space="preserve">• </w:t>
      </w:r>
      <w:r>
        <w:rPr>
          <w:rFonts w:ascii="Arial" w:hAnsi="Arial"/>
          <w:color w:val="17212B"/>
          <w:sz w:val="21"/>
        </w:rPr>
        <w:t>Every great idea finds the relationships for which it matters.</w:t>
      </w:r>
    </w:p>
    <w:p>
      <w:pPr>
        <w:spacing w:after="80" w:line="269" w:lineRule="auto"/>
        <w:ind w:left="540" w:hanging="271"/>
      </w:pPr>
      <w:r>
        <w:rPr>
          <w:rFonts w:ascii="Arial" w:hAnsi="Arial"/>
          <w:b/>
          <w:color w:val="C45A2A"/>
          <w:sz w:val="21"/>
        </w:rPr>
        <w:t xml:space="preserve">• </w:t>
      </w:r>
      <w:r>
        <w:rPr>
          <w:rFonts w:ascii="Arial" w:hAnsi="Arial"/>
          <w:color w:val="17212B"/>
          <w:sz w:val="21"/>
        </w:rPr>
        <w:t>Every commitment is remembered.</w:t>
      </w:r>
    </w:p>
    <w:p>
      <w:pPr>
        <w:spacing w:after="80" w:line="269" w:lineRule="auto"/>
        <w:ind w:left="540" w:hanging="271"/>
      </w:pPr>
      <w:r>
        <w:rPr>
          <w:rFonts w:ascii="Arial" w:hAnsi="Arial"/>
          <w:b/>
          <w:color w:val="C45A2A"/>
          <w:sz w:val="21"/>
        </w:rPr>
        <w:t xml:space="preserve">• </w:t>
      </w:r>
      <w:r>
        <w:rPr>
          <w:rFonts w:ascii="Arial" w:hAnsi="Arial"/>
          <w:color w:val="17212B"/>
          <w:sz w:val="21"/>
        </w:rPr>
        <w:t>Every action is coordinated.</w:t>
      </w:r>
    </w:p>
    <w:p>
      <w:pPr>
        <w:spacing w:after="80" w:line="269" w:lineRule="auto"/>
        <w:ind w:left="540" w:hanging="271"/>
      </w:pPr>
      <w:r>
        <w:rPr>
          <w:rFonts w:ascii="Arial" w:hAnsi="Arial"/>
          <w:b/>
          <w:color w:val="C45A2A"/>
          <w:sz w:val="21"/>
        </w:rPr>
        <w:t xml:space="preserve">• </w:t>
      </w:r>
      <w:r>
        <w:rPr>
          <w:rFonts w:ascii="Arial" w:hAnsi="Arial"/>
          <w:color w:val="17212B"/>
          <w:sz w:val="21"/>
        </w:rPr>
        <w:t>Every meeting can move from conversation to informed action.</w:t>
      </w:r>
    </w:p>
    <w:p>
      <w:pPr>
        <w:spacing w:after="80" w:line="269" w:lineRule="auto"/>
        <w:ind w:left="540" w:hanging="271"/>
      </w:pPr>
      <w:r>
        <w:rPr>
          <w:rFonts w:ascii="Arial" w:hAnsi="Arial"/>
          <w:b/>
          <w:color w:val="C45A2A"/>
          <w:sz w:val="21"/>
        </w:rPr>
        <w:t xml:space="preserve">• </w:t>
      </w:r>
      <w:r>
        <w:rPr>
          <w:rFonts w:ascii="Arial" w:hAnsi="Arial"/>
          <w:color w:val="17212B"/>
          <w:sz w:val="21"/>
        </w:rPr>
        <w:t>Every interaction makes the institution smarter.</w:t>
      </w:r>
    </w:p>
    <w:p>
      <w:pPr>
        <w:spacing w:after="80" w:line="269" w:lineRule="auto"/>
        <w:ind w:left="540" w:hanging="271"/>
      </w:pPr>
      <w:r>
        <w:rPr>
          <w:rFonts w:ascii="Arial" w:hAnsi="Arial"/>
          <w:b/>
          <w:color w:val="C45A2A"/>
          <w:sz w:val="21"/>
        </w:rPr>
        <w:t xml:space="preserve">• </w:t>
      </w:r>
      <w:r>
        <w:rPr>
          <w:rFonts w:ascii="Arial" w:hAnsi="Arial"/>
          <w:color w:val="17212B"/>
          <w:sz w:val="21"/>
        </w:rPr>
        <w:t>Every week makes our people better.</w:t>
      </w:r>
    </w:p>
    <w:p>
      <w:r>
        <w:rPr>
          <w:rFonts w:ascii="Arial" w:hAnsi="Arial"/>
          <w:color w:val="17212B"/>
          <w:sz w:val="21"/>
        </w:rPr>
        <w:t>The full intelligence of the entire firm, brought to every client relationship. It was never possible at this scale. It is now.</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360"/>
      </w:tabs>
    </w:pPr>
    <w:r>
      <w:rPr>
        <w:rFonts w:ascii="Arial" w:hAnsi="Arial"/>
        <w:b/>
        <w:color w:val="5E6B78"/>
        <w:sz w:val="17"/>
      </w:rPr>
      <w:t>DISCUSSION DRAFT  |  AUGUST 2026</w:t>
    </w:r>
    <w:r>
      <w:tab/>
    </w:r>
    <w:r>
      <w:rPr>
        <w:rFonts w:ascii="Arial" w:hAnsi="Arial"/>
        <w:color w:val="5E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E6B78"/>
        <w:sz w:val="17"/>
      </w:rPr>
      <w:t>AI-NATIVE PRIVATE BANK  |  MASTER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pPr>
    <w:rPr>
      <w:rFonts w:ascii="Arial" w:hAnsi="Arial"/>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C45A2A"/>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Arial" w:hAnsi="Arial"/>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540" w:hanging="271"/>
      <w:contextualSpacing/>
    </w:pPr>
    <w:rPr>
      <w:rFonts w:ascii="Arial" w:hAnsi="Arial"/>
      <w:color w:val="1721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540" w:hanging="271"/>
      <w:contextualSpacing/>
    </w:pPr>
    <w:rPr>
      <w:rFonts w:ascii="Arial" w:hAnsi="Arial"/>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Arial" w:hAnsi="Arial"/>
      <w:b/>
      <w:color w:val="C45A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client. The full firm. Always working.</dc:title>
  <dc:subject>AI-Native Private Bank</dc:subject>
  <dc:creator>J.P. Morgan Private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