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Kicker"/>
      </w:pPr>
      <w:r>
        <w:t>VALUE AND OPERATING MODEL</w:t>
      </w:r>
    </w:p>
    <w:p>
      <w:pPr>
        <w:pStyle w:val="Title"/>
        <w:spacing w:after="80"/>
      </w:pPr>
      <w:r>
        <w:t>Business Case, Scorecard and Operating Model</w:t>
      </w:r>
    </w:p>
    <w:p>
      <w:pPr>
        <w:pStyle w:val="Subtitle"/>
      </w:pPr>
      <w:r>
        <w:t>Outcomes, economics, ownership and funding gates</w:t>
      </w:r>
    </w:p>
    <w:p>
      <w:r>
        <w:rPr>
          <w:rFonts w:ascii="Arial" w:hAnsi="Arial"/>
          <w:color w:val="17212B"/>
          <w:sz w:val="21"/>
        </w:rPr>
        <w:t>The business case for the AI-native Private Bank is not simply labor reduction. It is the ability to deliver the preparation, responsiveness, judgment and institutional reach of our very best teams across the franchise, while strengthening controls and preserving the human relationship at the center of private banking.</w:t>
      </w:r>
    </w:p>
    <w:p>
      <w:pPr>
        <w:pStyle w:val="Heading1"/>
      </w:pPr>
      <w:r>
        <w:t>1. The value thesis</w:t>
      </w:r>
    </w:p>
    <w:p>
      <w:r>
        <w:rPr>
          <w:rFonts w:ascii="Arial" w:hAnsi="Arial"/>
          <w:color w:val="17212B"/>
          <w:sz w:val="21"/>
        </w:rPr>
        <w:t>Coach creates value through seven connected mechanisms.</w:t>
      </w:r>
    </w:p>
    <w:p>
      <w:pPr>
        <w:spacing w:after="80" w:line="269" w:lineRule="auto"/>
        <w:ind w:left="540" w:hanging="271"/>
      </w:pPr>
      <w:r>
        <w:rPr>
          <w:rFonts w:ascii="Arial" w:hAnsi="Arial"/>
          <w:color w:val="17212B"/>
          <w:sz w:val="21"/>
        </w:rPr>
        <w:t xml:space="preserve">1. </w:t>
      </w:r>
      <w:r>
        <w:rPr>
          <w:rFonts w:ascii="Arial" w:hAnsi="Arial"/>
          <w:color w:val="17212B"/>
          <w:sz w:val="21"/>
        </w:rPr>
        <w:t>Return capacity to the relationship team.</w:t>
      </w:r>
    </w:p>
    <w:p>
      <w:r>
        <w:rPr>
          <w:rFonts w:ascii="Arial" w:hAnsi="Arial"/>
          <w:color w:val="17212B"/>
          <w:sz w:val="21"/>
        </w:rPr>
        <w:t>Coach reduces the time required to search, assemble, prepare, document, coordinate and follow up. The capacity returned should be reinvested in client relationships, judgment and business development.</w:t>
      </w:r>
    </w:p>
    <w:p>
      <w:pPr>
        <w:spacing w:after="80" w:line="269" w:lineRule="auto"/>
        <w:ind w:left="540" w:hanging="271"/>
      </w:pPr>
      <w:r>
        <w:rPr>
          <w:rFonts w:ascii="Arial" w:hAnsi="Arial"/>
          <w:color w:val="17212B"/>
          <w:sz w:val="21"/>
        </w:rPr>
        <w:t xml:space="preserve">2. </w:t>
      </w:r>
      <w:r>
        <w:rPr>
          <w:rFonts w:ascii="Arial" w:hAnsi="Arial"/>
          <w:color w:val="17212B"/>
          <w:sz w:val="21"/>
        </w:rPr>
        <w:t>Increase the quality and consistency of client coverage.</w:t>
      </w:r>
    </w:p>
    <w:p>
      <w:r>
        <w:rPr>
          <w:rFonts w:ascii="Arial" w:hAnsi="Arial"/>
          <w:color w:val="17212B"/>
          <w:sz w:val="21"/>
        </w:rPr>
        <w:t>Client Agents, Autopilot and the commitment ledger help teams identify needs earlier, prepare more consistently and ensure that important promises are completed.</w:t>
      </w:r>
    </w:p>
    <w:p>
      <w:pPr>
        <w:spacing w:after="80" w:line="269" w:lineRule="auto"/>
        <w:ind w:left="540" w:hanging="271"/>
      </w:pPr>
      <w:r>
        <w:rPr>
          <w:rFonts w:ascii="Arial" w:hAnsi="Arial"/>
          <w:color w:val="17212B"/>
          <w:sz w:val="21"/>
        </w:rPr>
        <w:t xml:space="preserve">3. </w:t>
      </w:r>
      <w:r>
        <w:rPr>
          <w:rFonts w:ascii="Arial" w:hAnsi="Arial"/>
          <w:color w:val="17212B"/>
          <w:sz w:val="21"/>
        </w:rPr>
        <w:t>Extend the reach of the firm's best expertise.</w:t>
      </w:r>
    </w:p>
    <w:p>
      <w:r>
        <w:rPr>
          <w:rFonts w:ascii="Arial" w:hAnsi="Arial"/>
          <w:color w:val="17212B"/>
          <w:sz w:val="21"/>
        </w:rPr>
        <w:t>The Expertise Compiler and intelligent matching network allow one strong specialist idea to reach every relationship for which it may be relevant, without flooding the sales force with generic content.</w:t>
      </w:r>
    </w:p>
    <w:p>
      <w:pPr>
        <w:spacing w:after="80" w:line="269" w:lineRule="auto"/>
        <w:ind w:left="540" w:hanging="271"/>
      </w:pPr>
      <w:r>
        <w:rPr>
          <w:rFonts w:ascii="Arial" w:hAnsi="Arial"/>
          <w:color w:val="17212B"/>
          <w:sz w:val="21"/>
        </w:rPr>
        <w:t xml:space="preserve">4. </w:t>
      </w:r>
      <w:r>
        <w:rPr>
          <w:rFonts w:ascii="Arial" w:hAnsi="Arial"/>
          <w:color w:val="17212B"/>
          <w:sz w:val="21"/>
        </w:rPr>
        <w:t>Shorten the distance from intent to execution.</w:t>
      </w:r>
    </w:p>
    <w:p>
      <w:r>
        <w:rPr>
          <w:rFonts w:ascii="Arial" w:hAnsi="Arial"/>
          <w:color w:val="17212B"/>
          <w:sz w:val="21"/>
        </w:rPr>
        <w:t>Assists and governed workflows reduce handoffs, cycle time and rework across servicing, planning, lending and investment processes.</w:t>
      </w:r>
    </w:p>
    <w:p>
      <w:pPr>
        <w:spacing w:after="80" w:line="269" w:lineRule="auto"/>
        <w:ind w:left="540" w:hanging="271"/>
      </w:pPr>
      <w:r>
        <w:rPr>
          <w:rFonts w:ascii="Arial" w:hAnsi="Arial"/>
          <w:color w:val="17212B"/>
          <w:sz w:val="21"/>
        </w:rPr>
        <w:t xml:space="preserve">5. </w:t>
      </w:r>
      <w:r>
        <w:rPr>
          <w:rFonts w:ascii="Arial" w:hAnsi="Arial"/>
          <w:color w:val="17212B"/>
          <w:sz w:val="21"/>
        </w:rPr>
        <w:t>Improve employee capability continuously.</w:t>
      </w:r>
    </w:p>
    <w:p>
      <w:r>
        <w:rPr>
          <w:rFonts w:ascii="Arial" w:hAnsi="Arial"/>
          <w:color w:val="17212B"/>
          <w:sz w:val="21"/>
        </w:rPr>
        <w:t>Power Friday, the Personal Capability Agent and the Simulation Academy turn real work into personalized development and help analysts become client-ready faster.</w:t>
      </w:r>
    </w:p>
    <w:p>
      <w:pPr>
        <w:spacing w:after="80" w:line="269" w:lineRule="auto"/>
        <w:ind w:left="540" w:hanging="271"/>
      </w:pPr>
      <w:r>
        <w:rPr>
          <w:rFonts w:ascii="Arial" w:hAnsi="Arial"/>
          <w:color w:val="17212B"/>
          <w:sz w:val="21"/>
        </w:rPr>
        <w:t xml:space="preserve">6. </w:t>
      </w:r>
      <w:r>
        <w:rPr>
          <w:rFonts w:ascii="Arial" w:hAnsi="Arial"/>
          <w:color w:val="17212B"/>
          <w:sz w:val="21"/>
        </w:rPr>
        <w:t>Improve operational quality and economics.</w:t>
      </w:r>
    </w:p>
    <w:p>
      <w:r>
        <w:rPr>
          <w:rFonts w:ascii="Arial" w:hAnsi="Arial"/>
          <w:color w:val="17212B"/>
          <w:sz w:val="21"/>
        </w:rPr>
        <w:t>Operations professionals can move from manually processing every case to supervising intelligent execution, resolving true exceptions and improving workflows.</w:t>
      </w:r>
    </w:p>
    <w:p>
      <w:pPr>
        <w:spacing w:after="80" w:line="269" w:lineRule="auto"/>
        <w:ind w:left="540" w:hanging="271"/>
      </w:pPr>
      <w:r>
        <w:rPr>
          <w:rFonts w:ascii="Arial" w:hAnsi="Arial"/>
          <w:color w:val="17212B"/>
          <w:sz w:val="21"/>
        </w:rPr>
        <w:t xml:space="preserve">7. </w:t>
      </w:r>
      <w:r>
        <w:rPr>
          <w:rFonts w:ascii="Arial" w:hAnsi="Arial"/>
          <w:color w:val="17212B"/>
          <w:sz w:val="21"/>
        </w:rPr>
        <w:t>Strengthen the control environment.</w:t>
      </w:r>
    </w:p>
    <w:p>
      <w:r>
        <w:rPr>
          <w:rFonts w:ascii="Arial" w:hAnsi="Arial"/>
          <w:color w:val="17212B"/>
          <w:sz w:val="21"/>
        </w:rPr>
        <w:t>Structured skills, consistent policy checks, complete action traces and explicit autonomy boundaries can make the process more observable and governable than fragmented manual work.</w:t>
      </w:r>
    </w:p>
    <w:p>
      <w:pPr>
        <w:spacing w:after="40"/>
      </w:pPr>
      <w:r>
        <w:rPr>
          <w:rFonts w:ascii="Arial" w:hAnsi="Arial"/>
          <w:color w:val="17212B"/>
          <w:sz w:val="21"/>
        </w:rPr>
        <w:t>A useful economic expression is:</w:t>
      </w:r>
    </w:p>
    <w:p>
      <w:pPr>
        <w:spacing w:before="140" w:after="180" w:line="259" w:lineRule="auto"/>
        <w:ind w:left="173" w:right="144"/>
        <w:shd w:fill="EAF2F8"/>
        <w:pBdr>
          <w:left w:val="single" w:sz="20" w:space="8" w:color="C45A2A"/>
        </w:pBdr>
      </w:pPr>
      <w:r>
        <w:rPr>
          <w:rFonts w:ascii="Arial" w:hAnsi="Arial"/>
          <w:b/>
          <w:color w:val="0B1F33"/>
          <w:sz w:val="25"/>
        </w:rPr>
        <w:t>Total value equals capacity returned, plus incremental relationship value, plus reduced cycle time, errors and losses, plus avoided control costs, minus build, run, change and oversight costs.</w:t>
      </w:r>
    </w:p>
    <w:p>
      <w:r>
        <w:rPr>
          <w:rFonts w:ascii="Arial" w:hAnsi="Arial"/>
          <w:color w:val="17212B"/>
          <w:sz w:val="21"/>
        </w:rPr>
        <w:t>The business case should not assume that every minute saved becomes productive capacity or that every identified opportunity becomes revenue. Capacity realization and client action must be measured directly.</w:t>
      </w:r>
    </w:p>
    <w:p>
      <w:pPr>
        <w:pStyle w:val="Heading1"/>
      </w:pPr>
      <w:r>
        <w:t>2. North star and measurement philosophy</w:t>
      </w:r>
    </w:p>
    <w:p>
      <w:r>
        <w:rPr>
          <w:rFonts w:ascii="Arial" w:hAnsi="Arial"/>
          <w:color w:val="17212B"/>
          <w:sz w:val="21"/>
        </w:rPr>
        <w:t>The north star is better client outcomes and deeper trusted relationships delivered consistently at scale.</w:t>
      </w:r>
    </w:p>
    <w:p>
      <w:r>
        <w:rPr>
          <w:rFonts w:ascii="Arial" w:hAnsi="Arial"/>
          <w:color w:val="17212B"/>
          <w:sz w:val="21"/>
        </w:rPr>
        <w:t>No single activity metric should substitute for that outcome. Prompt volume, logins, number of agents created and content produced are diagnostic measures, not success measures.</w:t>
      </w:r>
    </w:p>
    <w:p>
      <w:r>
        <w:rPr>
          <w:rFonts w:ascii="Arial" w:hAnsi="Arial"/>
          <w:color w:val="17212B"/>
          <w:sz w:val="21"/>
        </w:rPr>
        <w:t>Expert attention is an important supporting metric because AI should release experts from low-value work and bring their judgment to the moments where it matters most. It is not the north star. More expert time is only valuable if it improves a client outcome, strengthens a decision, develops another colleague or resolves a meaningful exception.</w:t>
      </w:r>
    </w:p>
    <w:p>
      <w:r>
        <w:rPr>
          <w:rFonts w:ascii="Arial" w:hAnsi="Arial"/>
          <w:color w:val="17212B"/>
          <w:sz w:val="21"/>
        </w:rPr>
        <w:t>Guided Mode and Command Mode are task modes, not stages of employee maturity. Success should not be measured by whether a user moves from Guided Mode to Command Mode. The correct question is whether the task was completed safely, efficiently and at the right quality with the level of support appropriate to that moment.</w:t>
      </w:r>
    </w:p>
    <w:p>
      <w:r>
        <w:rPr>
          <w:rFonts w:ascii="Arial" w:hAnsi="Arial"/>
          <w:color w:val="17212B"/>
          <w:sz w:val="21"/>
        </w:rPr>
        <w:t>Metrics should be organized in three levels:</w:t>
      </w:r>
    </w:p>
    <w:p>
      <w:pPr>
        <w:spacing w:after="80" w:line="269" w:lineRule="auto"/>
        <w:ind w:left="540" w:hanging="271"/>
      </w:pPr>
      <w:r>
        <w:rPr>
          <w:rFonts w:ascii="Arial" w:hAnsi="Arial"/>
          <w:b/>
          <w:color w:val="C45A2A"/>
          <w:sz w:val="21"/>
        </w:rPr>
        <w:t xml:space="preserve">• </w:t>
      </w:r>
      <w:r>
        <w:rPr>
          <w:rFonts w:ascii="Arial" w:hAnsi="Arial"/>
          <w:color w:val="17212B"/>
          <w:sz w:val="21"/>
        </w:rPr>
        <w:t>Outcome metrics: What changed for the client, employee or business?</w:t>
      </w:r>
    </w:p>
    <w:p>
      <w:pPr>
        <w:spacing w:after="80" w:line="269" w:lineRule="auto"/>
        <w:ind w:left="540" w:hanging="271"/>
      </w:pPr>
      <w:r>
        <w:rPr>
          <w:rFonts w:ascii="Arial" w:hAnsi="Arial"/>
          <w:b/>
          <w:color w:val="C45A2A"/>
          <w:sz w:val="21"/>
        </w:rPr>
        <w:t xml:space="preserve">• </w:t>
      </w:r>
      <w:r>
        <w:rPr>
          <w:rFonts w:ascii="Arial" w:hAnsi="Arial"/>
          <w:color w:val="17212B"/>
          <w:sz w:val="21"/>
        </w:rPr>
        <w:t>Leading indicators: Are the new behaviors and workflows taking hold?</w:t>
      </w:r>
    </w:p>
    <w:p>
      <w:pPr>
        <w:spacing w:after="80" w:line="269" w:lineRule="auto"/>
        <w:ind w:left="540" w:hanging="271"/>
      </w:pPr>
      <w:r>
        <w:rPr>
          <w:rFonts w:ascii="Arial" w:hAnsi="Arial"/>
          <w:b/>
          <w:color w:val="C45A2A"/>
          <w:sz w:val="21"/>
        </w:rPr>
        <w:t xml:space="preserve">• </w:t>
      </w:r>
      <w:r>
        <w:rPr>
          <w:rFonts w:ascii="Arial" w:hAnsi="Arial"/>
          <w:color w:val="17212B"/>
          <w:sz w:val="21"/>
        </w:rPr>
        <w:t>Diagnostic metrics: Why is the experience succeeding or failing?</w:t>
      </w:r>
    </w:p>
    <w:p>
      <w:pPr>
        <w:pStyle w:val="Heading1"/>
      </w:pPr>
      <w:r>
        <w:t>3. Enterprise scorecard</w:t>
      </w:r>
    </w:p>
    <w:p>
      <w:pPr>
        <w:pStyle w:val="Heading2"/>
      </w:pPr>
      <w:r>
        <w:t>A. Client outcomes</w:t>
      </w:r>
    </w:p>
    <w:p>
      <w:r>
        <w:rPr>
          <w:rFonts w:ascii="Arial" w:hAnsi="Arial"/>
          <w:color w:val="17212B"/>
          <w:sz w:val="21"/>
        </w:rPr>
        <w:t>Primary measures:</w:t>
      </w:r>
    </w:p>
    <w:p>
      <w:pPr>
        <w:spacing w:after="80" w:line="269" w:lineRule="auto"/>
        <w:ind w:left="540" w:hanging="271"/>
      </w:pPr>
      <w:r>
        <w:rPr>
          <w:rFonts w:ascii="Arial" w:hAnsi="Arial"/>
          <w:b/>
          <w:color w:val="C45A2A"/>
          <w:sz w:val="21"/>
        </w:rPr>
        <w:t xml:space="preserve">• </w:t>
      </w:r>
      <w:r>
        <w:rPr>
          <w:rFonts w:ascii="Arial" w:hAnsi="Arial"/>
          <w:color w:val="17212B"/>
          <w:sz w:val="21"/>
        </w:rPr>
        <w:t>Percentage of priority client needs identified and addressed earlier</w:t>
      </w:r>
    </w:p>
    <w:p>
      <w:pPr>
        <w:spacing w:after="80" w:line="269" w:lineRule="auto"/>
        <w:ind w:left="540" w:hanging="271"/>
      </w:pPr>
      <w:r>
        <w:rPr>
          <w:rFonts w:ascii="Arial" w:hAnsi="Arial"/>
          <w:b/>
          <w:color w:val="C45A2A"/>
          <w:sz w:val="21"/>
        </w:rPr>
        <w:t xml:space="preserve">• </w:t>
      </w:r>
      <w:r>
        <w:rPr>
          <w:rFonts w:ascii="Arial" w:hAnsi="Arial"/>
          <w:color w:val="17212B"/>
          <w:sz w:val="21"/>
        </w:rPr>
        <w:t>Time from client request to meaningful response</w:t>
      </w:r>
    </w:p>
    <w:p>
      <w:pPr>
        <w:spacing w:after="80" w:line="269" w:lineRule="auto"/>
        <w:ind w:left="540" w:hanging="271"/>
      </w:pPr>
      <w:r>
        <w:rPr>
          <w:rFonts w:ascii="Arial" w:hAnsi="Arial"/>
          <w:b/>
          <w:color w:val="C45A2A"/>
          <w:sz w:val="21"/>
        </w:rPr>
        <w:t xml:space="preserve">• </w:t>
      </w:r>
      <w:r>
        <w:rPr>
          <w:rFonts w:ascii="Arial" w:hAnsi="Arial"/>
          <w:color w:val="17212B"/>
          <w:sz w:val="21"/>
        </w:rPr>
        <w:t>Time from decision to completed action</w:t>
      </w:r>
    </w:p>
    <w:p>
      <w:pPr>
        <w:spacing w:after="80" w:line="269" w:lineRule="auto"/>
        <w:ind w:left="540" w:hanging="271"/>
      </w:pPr>
      <w:r>
        <w:rPr>
          <w:rFonts w:ascii="Arial" w:hAnsi="Arial"/>
          <w:b/>
          <w:color w:val="C45A2A"/>
          <w:sz w:val="21"/>
        </w:rPr>
        <w:t xml:space="preserve">• </w:t>
      </w:r>
      <w:r>
        <w:rPr>
          <w:rFonts w:ascii="Arial" w:hAnsi="Arial"/>
          <w:color w:val="17212B"/>
          <w:sz w:val="21"/>
        </w:rPr>
        <w:t>Percentage of client commitments completed on time</w:t>
      </w:r>
    </w:p>
    <w:p>
      <w:pPr>
        <w:spacing w:after="80" w:line="269" w:lineRule="auto"/>
        <w:ind w:left="540" w:hanging="271"/>
      </w:pPr>
      <w:r>
        <w:rPr>
          <w:rFonts w:ascii="Arial" w:hAnsi="Arial"/>
          <w:b/>
          <w:color w:val="C45A2A"/>
          <w:sz w:val="21"/>
        </w:rPr>
        <w:t xml:space="preserve">• </w:t>
      </w:r>
      <w:r>
        <w:rPr>
          <w:rFonts w:ascii="Arial" w:hAnsi="Arial"/>
          <w:color w:val="17212B"/>
          <w:sz w:val="21"/>
        </w:rPr>
        <w:t>Relevance and quality of advice as assessed by clients and relationship teams</w:t>
      </w:r>
    </w:p>
    <w:p>
      <w:pPr>
        <w:spacing w:after="80" w:line="269" w:lineRule="auto"/>
        <w:ind w:left="540" w:hanging="271"/>
      </w:pPr>
      <w:r>
        <w:rPr>
          <w:rFonts w:ascii="Arial" w:hAnsi="Arial"/>
          <w:b/>
          <w:color w:val="C45A2A"/>
          <w:sz w:val="21"/>
        </w:rPr>
        <w:t xml:space="preserve">• </w:t>
      </w:r>
      <w:r>
        <w:rPr>
          <w:rFonts w:ascii="Arial" w:hAnsi="Arial"/>
          <w:color w:val="17212B"/>
          <w:sz w:val="21"/>
        </w:rPr>
        <w:t>Meeting quality and follow-up satisfaction</w:t>
      </w:r>
    </w:p>
    <w:p>
      <w:pPr>
        <w:spacing w:after="80" w:line="269" w:lineRule="auto"/>
        <w:ind w:left="540" w:hanging="271"/>
      </w:pPr>
      <w:r>
        <w:rPr>
          <w:rFonts w:ascii="Arial" w:hAnsi="Arial"/>
          <w:b/>
          <w:color w:val="C45A2A"/>
          <w:sz w:val="21"/>
        </w:rPr>
        <w:t xml:space="preserve">• </w:t>
      </w:r>
      <w:r>
        <w:rPr>
          <w:rFonts w:ascii="Arial" w:hAnsi="Arial"/>
          <w:color w:val="17212B"/>
          <w:sz w:val="21"/>
        </w:rPr>
        <w:t>Client retention, deepening and advocacy over time</w:t>
      </w:r>
    </w:p>
    <w:p>
      <w:r>
        <w:rPr>
          <w:rFonts w:ascii="Arial" w:hAnsi="Arial"/>
          <w:color w:val="17212B"/>
          <w:sz w:val="21"/>
        </w:rPr>
        <w:t>Supporting measures:</w:t>
      </w:r>
    </w:p>
    <w:p>
      <w:pPr>
        <w:spacing w:after="80" w:line="269" w:lineRule="auto"/>
        <w:ind w:left="540" w:hanging="271"/>
      </w:pPr>
      <w:r>
        <w:rPr>
          <w:rFonts w:ascii="Arial" w:hAnsi="Arial"/>
          <w:b/>
          <w:color w:val="C45A2A"/>
          <w:sz w:val="21"/>
        </w:rPr>
        <w:t xml:space="preserve">• </w:t>
      </w:r>
      <w:r>
        <w:rPr>
          <w:rFonts w:ascii="Arial" w:hAnsi="Arial"/>
          <w:color w:val="17212B"/>
          <w:sz w:val="21"/>
        </w:rPr>
        <w:t>Frequency of repeated client explanations across channels</w:t>
      </w:r>
    </w:p>
    <w:p>
      <w:pPr>
        <w:spacing w:after="80" w:line="269" w:lineRule="auto"/>
        <w:ind w:left="540" w:hanging="271"/>
      </w:pPr>
      <w:r>
        <w:rPr>
          <w:rFonts w:ascii="Arial" w:hAnsi="Arial"/>
          <w:b/>
          <w:color w:val="C45A2A"/>
          <w:sz w:val="21"/>
        </w:rPr>
        <w:t xml:space="preserve">• </w:t>
      </w:r>
      <w:r>
        <w:rPr>
          <w:rFonts w:ascii="Arial" w:hAnsi="Arial"/>
          <w:color w:val="17212B"/>
          <w:sz w:val="21"/>
        </w:rPr>
        <w:t>Number of conflicting or duplicate contacts prevented</w:t>
      </w:r>
    </w:p>
    <w:p>
      <w:pPr>
        <w:spacing w:after="80" w:line="269" w:lineRule="auto"/>
        <w:ind w:left="540" w:hanging="271"/>
      </w:pPr>
      <w:r>
        <w:rPr>
          <w:rFonts w:ascii="Arial" w:hAnsi="Arial"/>
          <w:b/>
          <w:color w:val="C45A2A"/>
          <w:sz w:val="21"/>
        </w:rPr>
        <w:t xml:space="preserve">• </w:t>
      </w:r>
      <w:r>
        <w:rPr>
          <w:rFonts w:ascii="Arial" w:hAnsi="Arial"/>
          <w:color w:val="17212B"/>
          <w:sz w:val="21"/>
        </w:rPr>
        <w:t>Use of secure client self-service where it improves convenience</w:t>
      </w:r>
    </w:p>
    <w:p>
      <w:pPr>
        <w:pStyle w:val="Heading2"/>
      </w:pPr>
      <w:r>
        <w:t>B. Employee and workflow outcomes</w:t>
      </w:r>
    </w:p>
    <w:p>
      <w:r>
        <w:rPr>
          <w:rFonts w:ascii="Arial" w:hAnsi="Arial"/>
          <w:color w:val="17212B"/>
          <w:sz w:val="21"/>
        </w:rPr>
        <w:t>Primary measures:</w:t>
      </w:r>
    </w:p>
    <w:p>
      <w:pPr>
        <w:spacing w:after="80" w:line="269" w:lineRule="auto"/>
        <w:ind w:left="540" w:hanging="271"/>
      </w:pPr>
      <w:r>
        <w:rPr>
          <w:rFonts w:ascii="Arial" w:hAnsi="Arial"/>
          <w:b/>
          <w:color w:val="C45A2A"/>
          <w:sz w:val="21"/>
        </w:rPr>
        <w:t xml:space="preserve">• </w:t>
      </w:r>
      <w:r>
        <w:rPr>
          <w:rFonts w:ascii="Arial" w:hAnsi="Arial"/>
          <w:color w:val="17212B"/>
          <w:sz w:val="21"/>
        </w:rPr>
        <w:t>End-to-end task completion rate</w:t>
      </w:r>
    </w:p>
    <w:p>
      <w:pPr>
        <w:spacing w:after="80" w:line="269" w:lineRule="auto"/>
        <w:ind w:left="540" w:hanging="271"/>
      </w:pPr>
      <w:r>
        <w:rPr>
          <w:rFonts w:ascii="Arial" w:hAnsi="Arial"/>
          <w:b/>
          <w:color w:val="C45A2A"/>
          <w:sz w:val="21"/>
        </w:rPr>
        <w:t xml:space="preserve">• </w:t>
      </w:r>
      <w:r>
        <w:rPr>
          <w:rFonts w:ascii="Arial" w:hAnsi="Arial"/>
          <w:color w:val="17212B"/>
          <w:sz w:val="21"/>
        </w:rPr>
        <w:t>Time to a usable output or completed workflow</w:t>
      </w:r>
    </w:p>
    <w:p>
      <w:pPr>
        <w:spacing w:after="80" w:line="269" w:lineRule="auto"/>
        <w:ind w:left="540" w:hanging="271"/>
      </w:pPr>
      <w:r>
        <w:rPr>
          <w:rFonts w:ascii="Arial" w:hAnsi="Arial"/>
          <w:b/>
          <w:color w:val="C45A2A"/>
          <w:sz w:val="21"/>
        </w:rPr>
        <w:t xml:space="preserve">• </w:t>
      </w:r>
      <w:r>
        <w:rPr>
          <w:rFonts w:ascii="Arial" w:hAnsi="Arial"/>
          <w:color w:val="17212B"/>
          <w:sz w:val="21"/>
        </w:rPr>
        <w:t>Percentage of prepared outputs accepted or usefully edited</w:t>
      </w:r>
    </w:p>
    <w:p>
      <w:pPr>
        <w:spacing w:after="80" w:line="269" w:lineRule="auto"/>
        <w:ind w:left="540" w:hanging="271"/>
      </w:pPr>
      <w:r>
        <w:rPr>
          <w:rFonts w:ascii="Arial" w:hAnsi="Arial"/>
          <w:b/>
          <w:color w:val="C45A2A"/>
          <w:sz w:val="21"/>
        </w:rPr>
        <w:t xml:space="preserve">• </w:t>
      </w:r>
      <w:r>
        <w:rPr>
          <w:rFonts w:ascii="Arial" w:hAnsi="Arial"/>
          <w:color w:val="17212B"/>
          <w:sz w:val="21"/>
        </w:rPr>
        <w:t>Reduction in manual handoffs and application switching</w:t>
      </w:r>
    </w:p>
    <w:p>
      <w:pPr>
        <w:spacing w:after="80" w:line="269" w:lineRule="auto"/>
        <w:ind w:left="540" w:hanging="271"/>
      </w:pPr>
      <w:r>
        <w:rPr>
          <w:rFonts w:ascii="Arial" w:hAnsi="Arial"/>
          <w:b/>
          <w:color w:val="C45A2A"/>
          <w:sz w:val="21"/>
        </w:rPr>
        <w:t xml:space="preserve">• </w:t>
      </w:r>
      <w:r>
        <w:rPr>
          <w:rFonts w:ascii="Arial" w:hAnsi="Arial"/>
          <w:color w:val="17212B"/>
          <w:sz w:val="21"/>
        </w:rPr>
        <w:t>Repeat use of the same high-value workflow</w:t>
      </w:r>
    </w:p>
    <w:p>
      <w:pPr>
        <w:spacing w:after="80" w:line="269" w:lineRule="auto"/>
        <w:ind w:left="540" w:hanging="271"/>
      </w:pPr>
      <w:r>
        <w:rPr>
          <w:rFonts w:ascii="Arial" w:hAnsi="Arial"/>
          <w:b/>
          <w:color w:val="C45A2A"/>
          <w:sz w:val="21"/>
        </w:rPr>
        <w:t xml:space="preserve">• </w:t>
      </w:r>
      <w:r>
        <w:rPr>
          <w:rFonts w:ascii="Arial" w:hAnsi="Arial"/>
          <w:color w:val="17212B"/>
          <w:sz w:val="21"/>
        </w:rPr>
        <w:t>Percentage of commitments captured and completed</w:t>
      </w:r>
    </w:p>
    <w:p>
      <w:pPr>
        <w:spacing w:after="80" w:line="269" w:lineRule="auto"/>
        <w:ind w:left="540" w:hanging="271"/>
      </w:pPr>
      <w:r>
        <w:rPr>
          <w:rFonts w:ascii="Arial" w:hAnsi="Arial"/>
          <w:b/>
          <w:color w:val="C45A2A"/>
          <w:sz w:val="21"/>
        </w:rPr>
        <w:t xml:space="preserve">• </w:t>
      </w:r>
      <w:r>
        <w:rPr>
          <w:rFonts w:ascii="Arial" w:hAnsi="Arial"/>
          <w:color w:val="17212B"/>
          <w:sz w:val="21"/>
        </w:rPr>
        <w:t>User-reported trust and willingness to rely on the capability again</w:t>
      </w:r>
    </w:p>
    <w:p>
      <w:r>
        <w:rPr>
          <w:rFonts w:ascii="Arial" w:hAnsi="Arial"/>
          <w:color w:val="17212B"/>
          <w:sz w:val="21"/>
        </w:rPr>
        <w:t>Supporting measures:</w:t>
      </w:r>
    </w:p>
    <w:p>
      <w:pPr>
        <w:spacing w:after="80" w:line="269" w:lineRule="auto"/>
        <w:ind w:left="540" w:hanging="271"/>
      </w:pPr>
      <w:r>
        <w:rPr>
          <w:rFonts w:ascii="Arial" w:hAnsi="Arial"/>
          <w:b/>
          <w:color w:val="C45A2A"/>
          <w:sz w:val="21"/>
        </w:rPr>
        <w:t xml:space="preserve">• </w:t>
      </w:r>
      <w:r>
        <w:rPr>
          <w:rFonts w:ascii="Arial" w:hAnsi="Arial"/>
          <w:color w:val="17212B"/>
          <w:sz w:val="21"/>
        </w:rPr>
        <w:t>Time returned by task type</w:t>
      </w:r>
    </w:p>
    <w:p>
      <w:pPr>
        <w:spacing w:after="80" w:line="269" w:lineRule="auto"/>
        <w:ind w:left="540" w:hanging="271"/>
      </w:pPr>
      <w:r>
        <w:rPr>
          <w:rFonts w:ascii="Arial" w:hAnsi="Arial"/>
          <w:b/>
          <w:color w:val="C45A2A"/>
          <w:sz w:val="21"/>
        </w:rPr>
        <w:t xml:space="preserve">• </w:t>
      </w:r>
      <w:r>
        <w:rPr>
          <w:rFonts w:ascii="Arial" w:hAnsi="Arial"/>
          <w:color w:val="17212B"/>
          <w:sz w:val="21"/>
        </w:rPr>
        <w:t>Expert attention redirected to client, coaching or exception work</w:t>
      </w:r>
    </w:p>
    <w:p>
      <w:pPr>
        <w:spacing w:after="80" w:line="269" w:lineRule="auto"/>
        <w:ind w:left="540" w:hanging="271"/>
      </w:pPr>
      <w:r>
        <w:rPr>
          <w:rFonts w:ascii="Arial" w:hAnsi="Arial"/>
          <w:b/>
          <w:color w:val="C45A2A"/>
          <w:sz w:val="21"/>
        </w:rPr>
        <w:t xml:space="preserve">• </w:t>
      </w:r>
      <w:r>
        <w:rPr>
          <w:rFonts w:ascii="Arial" w:hAnsi="Arial"/>
          <w:color w:val="17212B"/>
          <w:sz w:val="21"/>
        </w:rPr>
        <w:t>Guided and Command Mode performance by task, used to improve design rather than rank users</w:t>
      </w:r>
    </w:p>
    <w:p>
      <w:pPr>
        <w:spacing w:after="80" w:line="269" w:lineRule="auto"/>
        <w:ind w:left="540" w:hanging="271"/>
      </w:pPr>
      <w:r>
        <w:rPr>
          <w:rFonts w:ascii="Arial" w:hAnsi="Arial"/>
          <w:b/>
          <w:color w:val="C45A2A"/>
          <w:sz w:val="21"/>
        </w:rPr>
        <w:t xml:space="preserve">• </w:t>
      </w:r>
      <w:r>
        <w:rPr>
          <w:rFonts w:ascii="Arial" w:hAnsi="Arial"/>
          <w:color w:val="17212B"/>
          <w:sz w:val="21"/>
        </w:rPr>
        <w:t>Edit distance and reasons for override, dismissal or correction</w:t>
      </w:r>
    </w:p>
    <w:p>
      <w:pPr>
        <w:pStyle w:val="Heading2"/>
      </w:pPr>
      <w:r>
        <w:t>C. Business outcomes</w:t>
      </w:r>
    </w:p>
    <w:p>
      <w:r>
        <w:rPr>
          <w:rFonts w:ascii="Arial" w:hAnsi="Arial"/>
          <w:color w:val="17212B"/>
          <w:sz w:val="21"/>
        </w:rPr>
        <w:t>Primary measures:</w:t>
      </w:r>
    </w:p>
    <w:p>
      <w:pPr>
        <w:spacing w:after="80" w:line="269" w:lineRule="auto"/>
        <w:ind w:left="540" w:hanging="271"/>
      </w:pPr>
      <w:r>
        <w:rPr>
          <w:rFonts w:ascii="Arial" w:hAnsi="Arial"/>
          <w:b/>
          <w:color w:val="C45A2A"/>
          <w:sz w:val="21"/>
        </w:rPr>
        <w:t xml:space="preserve">• </w:t>
      </w:r>
      <w:r>
        <w:rPr>
          <w:rFonts w:ascii="Arial" w:hAnsi="Arial"/>
          <w:color w:val="17212B"/>
          <w:sz w:val="21"/>
        </w:rPr>
        <w:t>Percentage of relevant relationships reached by approved specialist ideas</w:t>
      </w:r>
    </w:p>
    <w:p>
      <w:pPr>
        <w:spacing w:after="80" w:line="269" w:lineRule="auto"/>
        <w:ind w:left="540" w:hanging="271"/>
      </w:pPr>
      <w:r>
        <w:rPr>
          <w:rFonts w:ascii="Arial" w:hAnsi="Arial"/>
          <w:b/>
          <w:color w:val="C45A2A"/>
          <w:sz w:val="21"/>
        </w:rPr>
        <w:t xml:space="preserve">• </w:t>
      </w:r>
      <w:r>
        <w:rPr>
          <w:rFonts w:ascii="Arial" w:hAnsi="Arial"/>
          <w:color w:val="17212B"/>
          <w:sz w:val="21"/>
        </w:rPr>
        <w:t>Qualified opportunities acted upon</w:t>
      </w:r>
    </w:p>
    <w:p>
      <w:pPr>
        <w:spacing w:after="80" w:line="269" w:lineRule="auto"/>
        <w:ind w:left="540" w:hanging="271"/>
      </w:pPr>
      <w:r>
        <w:rPr>
          <w:rFonts w:ascii="Arial" w:hAnsi="Arial"/>
          <w:b/>
          <w:color w:val="C45A2A"/>
          <w:sz w:val="21"/>
        </w:rPr>
        <w:t xml:space="preserve">• </w:t>
      </w:r>
      <w:r>
        <w:rPr>
          <w:rFonts w:ascii="Arial" w:hAnsi="Arial"/>
          <w:color w:val="17212B"/>
          <w:sz w:val="21"/>
        </w:rPr>
        <w:t>Conversion and relationship deepening attributable to supported workflows</w:t>
      </w:r>
    </w:p>
    <w:p>
      <w:pPr>
        <w:spacing w:after="80" w:line="269" w:lineRule="auto"/>
        <w:ind w:left="540" w:hanging="271"/>
      </w:pPr>
      <w:r>
        <w:rPr>
          <w:rFonts w:ascii="Arial" w:hAnsi="Arial"/>
          <w:b/>
          <w:color w:val="C45A2A"/>
          <w:sz w:val="21"/>
        </w:rPr>
        <w:t xml:space="preserve">• </w:t>
      </w:r>
      <w:r>
        <w:rPr>
          <w:rFonts w:ascii="Arial" w:hAnsi="Arial"/>
          <w:color w:val="17212B"/>
          <w:sz w:val="21"/>
        </w:rPr>
        <w:t>Increase in effective relationship coverage without reducing quality</w:t>
      </w:r>
    </w:p>
    <w:p>
      <w:pPr>
        <w:spacing w:after="80" w:line="269" w:lineRule="auto"/>
        <w:ind w:left="540" w:hanging="271"/>
      </w:pPr>
      <w:r>
        <w:rPr>
          <w:rFonts w:ascii="Arial" w:hAnsi="Arial"/>
          <w:b/>
          <w:color w:val="C45A2A"/>
          <w:sz w:val="21"/>
        </w:rPr>
        <w:t xml:space="preserve">• </w:t>
      </w:r>
      <w:r>
        <w:rPr>
          <w:rFonts w:ascii="Arial" w:hAnsi="Arial"/>
          <w:color w:val="17212B"/>
          <w:sz w:val="21"/>
        </w:rPr>
        <w:t>Speed from emerging franchise need to approved specialist response</w:t>
      </w:r>
    </w:p>
    <w:p>
      <w:r>
        <w:rPr>
          <w:rFonts w:ascii="Arial" w:hAnsi="Arial"/>
          <w:color w:val="17212B"/>
          <w:sz w:val="21"/>
        </w:rPr>
        <w:t>Supporting measures:</w:t>
      </w:r>
    </w:p>
    <w:p>
      <w:pPr>
        <w:spacing w:after="80" w:line="269" w:lineRule="auto"/>
        <w:ind w:left="540" w:hanging="271"/>
      </w:pPr>
      <w:r>
        <w:rPr>
          <w:rFonts w:ascii="Arial" w:hAnsi="Arial"/>
          <w:b/>
          <w:color w:val="C45A2A"/>
          <w:sz w:val="21"/>
        </w:rPr>
        <w:t xml:space="preserve">• </w:t>
      </w:r>
      <w:r>
        <w:rPr>
          <w:rFonts w:ascii="Arial" w:hAnsi="Arial"/>
          <w:color w:val="17212B"/>
          <w:sz w:val="21"/>
        </w:rPr>
        <w:t>Specialist creation time</w:t>
      </w:r>
    </w:p>
    <w:p>
      <w:pPr>
        <w:spacing w:after="80" w:line="269" w:lineRule="auto"/>
        <w:ind w:left="540" w:hanging="271"/>
      </w:pPr>
      <w:r>
        <w:rPr>
          <w:rFonts w:ascii="Arial" w:hAnsi="Arial"/>
          <w:b/>
          <w:color w:val="C45A2A"/>
          <w:sz w:val="21"/>
        </w:rPr>
        <w:t xml:space="preserve">• </w:t>
      </w:r>
      <w:r>
        <w:rPr>
          <w:rFonts w:ascii="Arial" w:hAnsi="Arial"/>
          <w:color w:val="17212B"/>
          <w:sz w:val="21"/>
        </w:rPr>
        <w:t>Advisor review and acceptance of matched ideas</w:t>
      </w:r>
    </w:p>
    <w:p>
      <w:pPr>
        <w:spacing w:after="80" w:line="269" w:lineRule="auto"/>
        <w:ind w:left="540" w:hanging="271"/>
      </w:pPr>
      <w:r>
        <w:rPr>
          <w:rFonts w:ascii="Arial" w:hAnsi="Arial"/>
          <w:b/>
          <w:color w:val="C45A2A"/>
          <w:sz w:val="21"/>
        </w:rPr>
        <w:t xml:space="preserve">• </w:t>
      </w:r>
      <w:r>
        <w:rPr>
          <w:rFonts w:ascii="Arial" w:hAnsi="Arial"/>
          <w:color w:val="17212B"/>
          <w:sz w:val="21"/>
        </w:rPr>
        <w:t>Incremental assets, lending, planning or other relationship outcomes, evaluated over an appropriate time horizon</w:t>
      </w:r>
    </w:p>
    <w:p>
      <w:r>
        <w:rPr>
          <w:rFonts w:ascii="Arial" w:hAnsi="Arial"/>
          <w:color w:val="17212B"/>
          <w:sz w:val="21"/>
        </w:rPr>
        <w:t>Business outcomes must always be interpreted alongside suitability, client relevance and risk. Volume of pitching is not a success metric.</w:t>
      </w:r>
    </w:p>
    <w:p>
      <w:pPr>
        <w:pStyle w:val="Heading2"/>
      </w:pPr>
      <w:r>
        <w:t>D. Operations outcomes</w:t>
      </w:r>
    </w:p>
    <w:p>
      <w:r>
        <w:rPr>
          <w:rFonts w:ascii="Arial" w:hAnsi="Arial"/>
          <w:color w:val="17212B"/>
          <w:sz w:val="21"/>
        </w:rPr>
        <w:t>Primary measures:</w:t>
      </w:r>
    </w:p>
    <w:p>
      <w:pPr>
        <w:spacing w:after="80" w:line="269" w:lineRule="auto"/>
        <w:ind w:left="540" w:hanging="271"/>
      </w:pPr>
      <w:r>
        <w:rPr>
          <w:rFonts w:ascii="Arial" w:hAnsi="Arial"/>
          <w:b/>
          <w:color w:val="C45A2A"/>
          <w:sz w:val="21"/>
        </w:rPr>
        <w:t xml:space="preserve">• </w:t>
      </w:r>
      <w:r>
        <w:rPr>
          <w:rFonts w:ascii="Arial" w:hAnsi="Arial"/>
          <w:color w:val="17212B"/>
          <w:sz w:val="21"/>
        </w:rPr>
        <w:t>End-to-end cycle time</w:t>
      </w:r>
    </w:p>
    <w:p>
      <w:pPr>
        <w:spacing w:after="80" w:line="269" w:lineRule="auto"/>
        <w:ind w:left="540" w:hanging="271"/>
      </w:pPr>
      <w:r>
        <w:rPr>
          <w:rFonts w:ascii="Arial" w:hAnsi="Arial"/>
          <w:b/>
          <w:color w:val="C45A2A"/>
          <w:sz w:val="21"/>
        </w:rPr>
        <w:t xml:space="preserve">• </w:t>
      </w:r>
      <w:r>
        <w:rPr>
          <w:rFonts w:ascii="Arial" w:hAnsi="Arial"/>
          <w:color w:val="17212B"/>
          <w:sz w:val="21"/>
        </w:rPr>
        <w:t>Straight-through completion rate for approved workflows</w:t>
      </w:r>
    </w:p>
    <w:p>
      <w:pPr>
        <w:spacing w:after="80" w:line="269" w:lineRule="auto"/>
        <w:ind w:left="540" w:hanging="271"/>
      </w:pPr>
      <w:r>
        <w:rPr>
          <w:rFonts w:ascii="Arial" w:hAnsi="Arial"/>
          <w:b/>
          <w:color w:val="C45A2A"/>
          <w:sz w:val="21"/>
        </w:rPr>
        <w:t xml:space="preserve">• </w:t>
      </w:r>
      <w:r>
        <w:rPr>
          <w:rFonts w:ascii="Arial" w:hAnsi="Arial"/>
          <w:color w:val="17212B"/>
          <w:sz w:val="21"/>
        </w:rPr>
        <w:t>Exception, rework and error rates</w:t>
      </w:r>
    </w:p>
    <w:p>
      <w:pPr>
        <w:spacing w:after="80" w:line="269" w:lineRule="auto"/>
        <w:ind w:left="540" w:hanging="271"/>
      </w:pPr>
      <w:r>
        <w:rPr>
          <w:rFonts w:ascii="Arial" w:hAnsi="Arial"/>
          <w:b/>
          <w:color w:val="C45A2A"/>
          <w:sz w:val="21"/>
        </w:rPr>
        <w:t xml:space="preserve">• </w:t>
      </w:r>
      <w:r>
        <w:rPr>
          <w:rFonts w:ascii="Arial" w:hAnsi="Arial"/>
          <w:color w:val="17212B"/>
          <w:sz w:val="21"/>
        </w:rPr>
        <w:t>Cost per successfully completed case</w:t>
      </w:r>
    </w:p>
    <w:p>
      <w:pPr>
        <w:spacing w:after="80" w:line="269" w:lineRule="auto"/>
        <w:ind w:left="540" w:hanging="271"/>
      </w:pPr>
      <w:r>
        <w:rPr>
          <w:rFonts w:ascii="Arial" w:hAnsi="Arial"/>
          <w:b/>
          <w:color w:val="C45A2A"/>
          <w:sz w:val="21"/>
        </w:rPr>
        <w:t xml:space="preserve">• </w:t>
      </w:r>
      <w:r>
        <w:rPr>
          <w:rFonts w:ascii="Arial" w:hAnsi="Arial"/>
          <w:color w:val="17212B"/>
          <w:sz w:val="21"/>
        </w:rPr>
        <w:t>Time required to resolve a true exception</w:t>
      </w:r>
    </w:p>
    <w:p>
      <w:pPr>
        <w:spacing w:after="80" w:line="269" w:lineRule="auto"/>
        <w:ind w:left="540" w:hanging="271"/>
      </w:pPr>
      <w:r>
        <w:rPr>
          <w:rFonts w:ascii="Arial" w:hAnsi="Arial"/>
          <w:b/>
          <w:color w:val="C45A2A"/>
          <w:sz w:val="21"/>
        </w:rPr>
        <w:t xml:space="preserve">• </w:t>
      </w:r>
      <w:r>
        <w:rPr>
          <w:rFonts w:ascii="Arial" w:hAnsi="Arial"/>
          <w:color w:val="17212B"/>
          <w:sz w:val="21"/>
        </w:rPr>
        <w:t>Percentage of cases with complete records and evidence</w:t>
      </w:r>
    </w:p>
    <w:p>
      <w:r>
        <w:rPr>
          <w:rFonts w:ascii="Arial" w:hAnsi="Arial"/>
          <w:color w:val="17212B"/>
          <w:sz w:val="21"/>
        </w:rPr>
        <w:t>Supporting measures:</w:t>
      </w:r>
    </w:p>
    <w:p>
      <w:pPr>
        <w:spacing w:after="80" w:line="269" w:lineRule="auto"/>
        <w:ind w:left="540" w:hanging="271"/>
      </w:pPr>
      <w:r>
        <w:rPr>
          <w:rFonts w:ascii="Arial" w:hAnsi="Arial"/>
          <w:b/>
          <w:color w:val="C45A2A"/>
          <w:sz w:val="21"/>
        </w:rPr>
        <w:t xml:space="preserve">• </w:t>
      </w:r>
      <w:r>
        <w:rPr>
          <w:rFonts w:ascii="Arial" w:hAnsi="Arial"/>
          <w:color w:val="17212B"/>
          <w:sz w:val="21"/>
        </w:rPr>
        <w:t>Number of manual touches</w:t>
      </w:r>
    </w:p>
    <w:p>
      <w:pPr>
        <w:spacing w:after="80" w:line="269" w:lineRule="auto"/>
        <w:ind w:left="540" w:hanging="271"/>
      </w:pPr>
      <w:r>
        <w:rPr>
          <w:rFonts w:ascii="Arial" w:hAnsi="Arial"/>
          <w:b/>
          <w:color w:val="C45A2A"/>
          <w:sz w:val="21"/>
        </w:rPr>
        <w:t xml:space="preserve">• </w:t>
      </w:r>
      <w:r>
        <w:rPr>
          <w:rFonts w:ascii="Arial" w:hAnsi="Arial"/>
          <w:color w:val="17212B"/>
          <w:sz w:val="21"/>
        </w:rPr>
        <w:t>Queue age and work-in-progress</w:t>
      </w:r>
    </w:p>
    <w:p>
      <w:pPr>
        <w:spacing w:after="80" w:line="269" w:lineRule="auto"/>
        <w:ind w:left="540" w:hanging="271"/>
      </w:pPr>
      <w:r>
        <w:rPr>
          <w:rFonts w:ascii="Arial" w:hAnsi="Arial"/>
          <w:b/>
          <w:color w:val="C45A2A"/>
          <w:sz w:val="21"/>
        </w:rPr>
        <w:t xml:space="preserve">• </w:t>
      </w:r>
      <w:r>
        <w:rPr>
          <w:rFonts w:ascii="Arial" w:hAnsi="Arial"/>
          <w:color w:val="17212B"/>
          <w:sz w:val="21"/>
        </w:rPr>
        <w:t>Percentage of exceptions with an accurate root-cause recommendation</w:t>
      </w:r>
    </w:p>
    <w:p>
      <w:pPr>
        <w:pStyle w:val="Heading2"/>
      </w:pPr>
      <w:r>
        <w:t>E. Trust and control outcomes</w:t>
      </w:r>
    </w:p>
    <w:p>
      <w:r>
        <w:rPr>
          <w:rFonts w:ascii="Arial" w:hAnsi="Arial"/>
          <w:color w:val="17212B"/>
          <w:sz w:val="21"/>
        </w:rPr>
        <w:t>Primary measures:</w:t>
      </w:r>
    </w:p>
    <w:p>
      <w:pPr>
        <w:spacing w:after="80" w:line="269" w:lineRule="auto"/>
        <w:ind w:left="540" w:hanging="271"/>
      </w:pPr>
      <w:r>
        <w:rPr>
          <w:rFonts w:ascii="Arial" w:hAnsi="Arial"/>
          <w:b/>
          <w:color w:val="C45A2A"/>
          <w:sz w:val="21"/>
        </w:rPr>
        <w:t xml:space="preserve">• </w:t>
      </w:r>
      <w:r>
        <w:rPr>
          <w:rFonts w:ascii="Arial" w:hAnsi="Arial"/>
          <w:color w:val="17212B"/>
          <w:sz w:val="21"/>
        </w:rPr>
        <w:t>Material factual accuracy on domain evaluation sets and audited production samples</w:t>
      </w:r>
    </w:p>
    <w:p>
      <w:pPr>
        <w:spacing w:after="80" w:line="269" w:lineRule="auto"/>
        <w:ind w:left="540" w:hanging="271"/>
      </w:pPr>
      <w:r>
        <w:rPr>
          <w:rFonts w:ascii="Arial" w:hAnsi="Arial"/>
          <w:b/>
          <w:color w:val="C45A2A"/>
          <w:sz w:val="21"/>
        </w:rPr>
        <w:t xml:space="preserve">• </w:t>
      </w:r>
      <w:r>
        <w:rPr>
          <w:rFonts w:ascii="Arial" w:hAnsi="Arial"/>
          <w:color w:val="17212B"/>
          <w:sz w:val="21"/>
        </w:rPr>
        <w:t>Source and assumption coverage for high-impact conclusions</w:t>
      </w:r>
    </w:p>
    <w:p>
      <w:pPr>
        <w:spacing w:after="80" w:line="269" w:lineRule="auto"/>
        <w:ind w:left="540" w:hanging="271"/>
      </w:pPr>
      <w:r>
        <w:rPr>
          <w:rFonts w:ascii="Arial" w:hAnsi="Arial"/>
          <w:b/>
          <w:color w:val="C45A2A"/>
          <w:sz w:val="21"/>
        </w:rPr>
        <w:t xml:space="preserve">• </w:t>
      </w:r>
      <w:r>
        <w:rPr>
          <w:rFonts w:ascii="Arial" w:hAnsi="Arial"/>
          <w:color w:val="17212B"/>
          <w:sz w:val="21"/>
        </w:rPr>
        <w:t>Memory accuracy, freshness and validation status</w:t>
      </w:r>
    </w:p>
    <w:p>
      <w:pPr>
        <w:spacing w:after="80" w:line="269" w:lineRule="auto"/>
        <w:ind w:left="540" w:hanging="271"/>
      </w:pPr>
      <w:r>
        <w:rPr>
          <w:rFonts w:ascii="Arial" w:hAnsi="Arial"/>
          <w:b/>
          <w:color w:val="C45A2A"/>
          <w:sz w:val="21"/>
        </w:rPr>
        <w:t xml:space="preserve">• </w:t>
      </w:r>
      <w:r>
        <w:rPr>
          <w:rFonts w:ascii="Arial" w:hAnsi="Arial"/>
          <w:color w:val="17212B"/>
          <w:sz w:val="21"/>
        </w:rPr>
        <w:t>Entitlement or confidentiality incidents</w:t>
      </w:r>
    </w:p>
    <w:p>
      <w:pPr>
        <w:spacing w:after="80" w:line="269" w:lineRule="auto"/>
        <w:ind w:left="540" w:hanging="271"/>
      </w:pPr>
      <w:r>
        <w:rPr>
          <w:rFonts w:ascii="Arial" w:hAnsi="Arial"/>
          <w:b/>
          <w:color w:val="C45A2A"/>
          <w:sz w:val="21"/>
        </w:rPr>
        <w:t xml:space="preserve">• </w:t>
      </w:r>
      <w:r>
        <w:rPr>
          <w:rFonts w:ascii="Arial" w:hAnsi="Arial"/>
          <w:color w:val="17212B"/>
          <w:sz w:val="21"/>
        </w:rPr>
        <w:t>Unauthorized or duplicate actions</w:t>
      </w:r>
    </w:p>
    <w:p>
      <w:pPr>
        <w:spacing w:after="80" w:line="269" w:lineRule="auto"/>
        <w:ind w:left="540" w:hanging="271"/>
      </w:pPr>
      <w:r>
        <w:rPr>
          <w:rFonts w:ascii="Arial" w:hAnsi="Arial"/>
          <w:b/>
          <w:color w:val="C45A2A"/>
          <w:sz w:val="21"/>
        </w:rPr>
        <w:t xml:space="preserve">• </w:t>
      </w:r>
      <w:r>
        <w:rPr>
          <w:rFonts w:ascii="Arial" w:hAnsi="Arial"/>
          <w:color w:val="17212B"/>
          <w:sz w:val="21"/>
        </w:rPr>
        <w:t>Audit-record completeness</w:t>
      </w:r>
    </w:p>
    <w:p>
      <w:pPr>
        <w:spacing w:after="80" w:line="269" w:lineRule="auto"/>
        <w:ind w:left="540" w:hanging="271"/>
      </w:pPr>
      <w:r>
        <w:rPr>
          <w:rFonts w:ascii="Arial" w:hAnsi="Arial"/>
          <w:b/>
          <w:color w:val="C45A2A"/>
          <w:sz w:val="21"/>
        </w:rPr>
        <w:t xml:space="preserve">• </w:t>
      </w:r>
      <w:r>
        <w:rPr>
          <w:rFonts w:ascii="Arial" w:hAnsi="Arial"/>
          <w:color w:val="17212B"/>
          <w:sz w:val="21"/>
        </w:rPr>
        <w:t>Rollback, pause and escalation effectiveness</w:t>
      </w:r>
    </w:p>
    <w:p>
      <w:pPr>
        <w:spacing w:after="80" w:line="269" w:lineRule="auto"/>
        <w:ind w:left="540" w:hanging="271"/>
      </w:pPr>
      <w:r>
        <w:rPr>
          <w:rFonts w:ascii="Arial" w:hAnsi="Arial"/>
          <w:b/>
          <w:color w:val="C45A2A"/>
          <w:sz w:val="21"/>
        </w:rPr>
        <w:t xml:space="preserve">• </w:t>
      </w:r>
      <w:r>
        <w:rPr>
          <w:rFonts w:ascii="Arial" w:hAnsi="Arial"/>
          <w:color w:val="17212B"/>
          <w:sz w:val="21"/>
        </w:rPr>
        <w:t>Client and employee corrections incorporated successfully</w:t>
      </w:r>
    </w:p>
    <w:p>
      <w:r>
        <w:rPr>
          <w:rFonts w:ascii="Arial" w:hAnsi="Arial"/>
          <w:color w:val="17212B"/>
          <w:sz w:val="21"/>
        </w:rPr>
        <w:t>Supporting measures:</w:t>
      </w:r>
    </w:p>
    <w:p>
      <w:pPr>
        <w:spacing w:after="80" w:line="269" w:lineRule="auto"/>
        <w:ind w:left="540" w:hanging="271"/>
      </w:pPr>
      <w:r>
        <w:rPr>
          <w:rFonts w:ascii="Arial" w:hAnsi="Arial"/>
          <w:b/>
          <w:color w:val="C45A2A"/>
          <w:sz w:val="21"/>
        </w:rPr>
        <w:t xml:space="preserve">• </w:t>
      </w:r>
      <w:r>
        <w:rPr>
          <w:rFonts w:ascii="Arial" w:hAnsi="Arial"/>
          <w:color w:val="17212B"/>
          <w:sz w:val="21"/>
        </w:rPr>
        <w:t>Irrelevant proactive alert rate</w:t>
      </w:r>
    </w:p>
    <w:p>
      <w:pPr>
        <w:spacing w:after="80" w:line="269" w:lineRule="auto"/>
        <w:ind w:left="540" w:hanging="271"/>
      </w:pPr>
      <w:r>
        <w:rPr>
          <w:rFonts w:ascii="Arial" w:hAnsi="Arial"/>
          <w:b/>
          <w:color w:val="C45A2A"/>
          <w:sz w:val="21"/>
        </w:rPr>
        <w:t xml:space="preserve">• </w:t>
      </w:r>
      <w:r>
        <w:rPr>
          <w:rFonts w:ascii="Arial" w:hAnsi="Arial"/>
          <w:color w:val="17212B"/>
          <w:sz w:val="21"/>
        </w:rPr>
        <w:t>Missed high-value event rate from retrospective sampling</w:t>
      </w:r>
    </w:p>
    <w:p>
      <w:pPr>
        <w:spacing w:after="80" w:line="269" w:lineRule="auto"/>
        <w:ind w:left="540" w:hanging="271"/>
      </w:pPr>
      <w:r>
        <w:rPr>
          <w:rFonts w:ascii="Arial" w:hAnsi="Arial"/>
          <w:b/>
          <w:color w:val="C45A2A"/>
          <w:sz w:val="21"/>
        </w:rPr>
        <w:t xml:space="preserve">• </w:t>
      </w:r>
      <w:r>
        <w:rPr>
          <w:rFonts w:ascii="Arial" w:hAnsi="Arial"/>
          <w:color w:val="17212B"/>
          <w:sz w:val="21"/>
        </w:rPr>
        <w:t>Human override and escalation patterns</w:t>
      </w:r>
    </w:p>
    <w:p>
      <w:pPr>
        <w:spacing w:after="80" w:line="269" w:lineRule="auto"/>
        <w:ind w:left="540" w:hanging="271"/>
      </w:pPr>
      <w:r>
        <w:rPr>
          <w:rFonts w:ascii="Arial" w:hAnsi="Arial"/>
          <w:b/>
          <w:color w:val="C45A2A"/>
          <w:sz w:val="21"/>
        </w:rPr>
        <w:t xml:space="preserve">• </w:t>
      </w:r>
      <w:r>
        <w:rPr>
          <w:rFonts w:ascii="Arial" w:hAnsi="Arial"/>
          <w:color w:val="17212B"/>
          <w:sz w:val="21"/>
        </w:rPr>
        <w:t>Drift following model, data, prompt or policy changes</w:t>
      </w:r>
    </w:p>
    <w:p>
      <w:pPr>
        <w:pStyle w:val="Heading2"/>
      </w:pPr>
      <w:r>
        <w:t>F. Learning and culture outcomes</w:t>
      </w:r>
    </w:p>
    <w:p>
      <w:r>
        <w:rPr>
          <w:rFonts w:ascii="Arial" w:hAnsi="Arial"/>
          <w:color w:val="17212B"/>
          <w:sz w:val="21"/>
        </w:rPr>
        <w:t>Primary measures:</w:t>
      </w:r>
    </w:p>
    <w:p>
      <w:pPr>
        <w:spacing w:after="80" w:line="269" w:lineRule="auto"/>
        <w:ind w:left="540" w:hanging="271"/>
      </w:pPr>
      <w:r>
        <w:rPr>
          <w:rFonts w:ascii="Arial" w:hAnsi="Arial"/>
          <w:b/>
          <w:color w:val="C45A2A"/>
          <w:sz w:val="21"/>
        </w:rPr>
        <w:t xml:space="preserve">• </w:t>
      </w:r>
      <w:r>
        <w:rPr>
          <w:rFonts w:ascii="Arial" w:hAnsi="Arial"/>
          <w:color w:val="17212B"/>
          <w:sz w:val="21"/>
        </w:rPr>
        <w:t>Demonstrated improvement on the selected capability after practice</w:t>
      </w:r>
    </w:p>
    <w:p>
      <w:pPr>
        <w:spacing w:after="80" w:line="269" w:lineRule="auto"/>
        <w:ind w:left="540" w:hanging="271"/>
      </w:pPr>
      <w:r>
        <w:rPr>
          <w:rFonts w:ascii="Arial" w:hAnsi="Arial"/>
          <w:b/>
          <w:color w:val="C45A2A"/>
          <w:sz w:val="21"/>
        </w:rPr>
        <w:t xml:space="preserve">• </w:t>
      </w:r>
      <w:r>
        <w:rPr>
          <w:rFonts w:ascii="Arial" w:hAnsi="Arial"/>
          <w:color w:val="17212B"/>
          <w:sz w:val="21"/>
        </w:rPr>
        <w:t>Transfer of Power Friday learning into a real task the following week</w:t>
      </w:r>
    </w:p>
    <w:p>
      <w:pPr>
        <w:spacing w:after="80" w:line="269" w:lineRule="auto"/>
        <w:ind w:left="540" w:hanging="271"/>
      </w:pPr>
      <w:r>
        <w:rPr>
          <w:rFonts w:ascii="Arial" w:hAnsi="Arial"/>
          <w:b/>
          <w:color w:val="C45A2A"/>
          <w:sz w:val="21"/>
        </w:rPr>
        <w:t xml:space="preserve">• </w:t>
      </w:r>
      <w:r>
        <w:rPr>
          <w:rFonts w:ascii="Arial" w:hAnsi="Arial"/>
          <w:color w:val="17212B"/>
          <w:sz w:val="21"/>
        </w:rPr>
        <w:t>Reduction in repeated errors or recurring areas of friction</w:t>
      </w:r>
    </w:p>
    <w:p>
      <w:pPr>
        <w:spacing w:after="80" w:line="269" w:lineRule="auto"/>
        <w:ind w:left="540" w:hanging="271"/>
      </w:pPr>
      <w:r>
        <w:rPr>
          <w:rFonts w:ascii="Arial" w:hAnsi="Arial"/>
          <w:b/>
          <w:color w:val="C45A2A"/>
          <w:sz w:val="21"/>
        </w:rPr>
        <w:t xml:space="preserve">• </w:t>
      </w:r>
      <w:r>
        <w:rPr>
          <w:rFonts w:ascii="Arial" w:hAnsi="Arial"/>
          <w:color w:val="17212B"/>
          <w:sz w:val="21"/>
        </w:rPr>
        <w:t>Time required for analysts to demonstrate client-ready capabilities</w:t>
      </w:r>
    </w:p>
    <w:p>
      <w:pPr>
        <w:spacing w:after="80" w:line="269" w:lineRule="auto"/>
        <w:ind w:left="540" w:hanging="271"/>
      </w:pPr>
      <w:r>
        <w:rPr>
          <w:rFonts w:ascii="Arial" w:hAnsi="Arial"/>
          <w:b/>
          <w:color w:val="C45A2A"/>
          <w:sz w:val="21"/>
        </w:rPr>
        <w:t xml:space="preserve">• </w:t>
      </w:r>
      <w:r>
        <w:rPr>
          <w:rFonts w:ascii="Arial" w:hAnsi="Arial"/>
          <w:color w:val="17212B"/>
          <w:sz w:val="21"/>
        </w:rPr>
        <w:t>Employee trust in the developmental experience</w:t>
      </w:r>
    </w:p>
    <w:p>
      <w:r>
        <w:rPr>
          <w:rFonts w:ascii="Arial" w:hAnsi="Arial"/>
          <w:color w:val="17212B"/>
          <w:sz w:val="21"/>
        </w:rPr>
        <w:t>Attendance, course completion and hours spent in training are supporting measures only.</w:t>
      </w:r>
    </w:p>
    <w:p>
      <w:pPr>
        <w:pStyle w:val="Heading2"/>
      </w:pPr>
      <w:r>
        <w:t>G. Platform and economic outcomes</w:t>
      </w:r>
    </w:p>
    <w:p>
      <w:r>
        <w:rPr>
          <w:rFonts w:ascii="Arial" w:hAnsi="Arial"/>
          <w:color w:val="17212B"/>
          <w:sz w:val="21"/>
        </w:rPr>
        <w:t>Primary measures:</w:t>
      </w:r>
    </w:p>
    <w:p>
      <w:pPr>
        <w:spacing w:after="80" w:line="269" w:lineRule="auto"/>
        <w:ind w:left="540" w:hanging="271"/>
      </w:pPr>
      <w:r>
        <w:rPr>
          <w:rFonts w:ascii="Arial" w:hAnsi="Arial"/>
          <w:b/>
          <w:color w:val="C45A2A"/>
          <w:sz w:val="21"/>
        </w:rPr>
        <w:t xml:space="preserve">• </w:t>
      </w:r>
      <w:r>
        <w:rPr>
          <w:rFonts w:ascii="Arial" w:hAnsi="Arial"/>
          <w:color w:val="17212B"/>
          <w:sz w:val="21"/>
        </w:rPr>
        <w:t>Availability and end-to-end workflow reliability</w:t>
      </w:r>
    </w:p>
    <w:p>
      <w:pPr>
        <w:spacing w:after="80" w:line="269" w:lineRule="auto"/>
        <w:ind w:left="540" w:hanging="271"/>
      </w:pPr>
      <w:r>
        <w:rPr>
          <w:rFonts w:ascii="Arial" w:hAnsi="Arial"/>
          <w:b/>
          <w:color w:val="C45A2A"/>
          <w:sz w:val="21"/>
        </w:rPr>
        <w:t xml:space="preserve">• </w:t>
      </w:r>
      <w:r>
        <w:rPr>
          <w:rFonts w:ascii="Arial" w:hAnsi="Arial"/>
          <w:color w:val="17212B"/>
          <w:sz w:val="21"/>
        </w:rPr>
        <w:t>Latency appropriate to the task and channel</w:t>
      </w:r>
    </w:p>
    <w:p>
      <w:pPr>
        <w:spacing w:after="80" w:line="269" w:lineRule="auto"/>
        <w:ind w:left="540" w:hanging="271"/>
      </w:pPr>
      <w:r>
        <w:rPr>
          <w:rFonts w:ascii="Arial" w:hAnsi="Arial"/>
          <w:b/>
          <w:color w:val="C45A2A"/>
          <w:sz w:val="21"/>
        </w:rPr>
        <w:t xml:space="preserve">• </w:t>
      </w:r>
      <w:r>
        <w:rPr>
          <w:rFonts w:ascii="Arial" w:hAnsi="Arial"/>
          <w:color w:val="17212B"/>
          <w:sz w:val="21"/>
        </w:rPr>
        <w:t>Cost per successful task, not cost per model call</w:t>
      </w:r>
    </w:p>
    <w:p>
      <w:pPr>
        <w:spacing w:after="80" w:line="269" w:lineRule="auto"/>
        <w:ind w:left="540" w:hanging="271"/>
      </w:pPr>
      <w:r>
        <w:rPr>
          <w:rFonts w:ascii="Arial" w:hAnsi="Arial"/>
          <w:b/>
          <w:color w:val="C45A2A"/>
          <w:sz w:val="21"/>
        </w:rPr>
        <w:t xml:space="preserve">• </w:t>
      </w:r>
      <w:r>
        <w:rPr>
          <w:rFonts w:ascii="Arial" w:hAnsi="Arial"/>
          <w:color w:val="17212B"/>
          <w:sz w:val="21"/>
        </w:rPr>
        <w:t>Support and incident burden</w:t>
      </w:r>
    </w:p>
    <w:p>
      <w:pPr>
        <w:spacing w:after="80" w:line="269" w:lineRule="auto"/>
        <w:ind w:left="540" w:hanging="271"/>
      </w:pPr>
      <w:r>
        <w:rPr>
          <w:rFonts w:ascii="Arial" w:hAnsi="Arial"/>
          <w:b/>
          <w:color w:val="C45A2A"/>
          <w:sz w:val="21"/>
        </w:rPr>
        <w:t xml:space="preserve">• </w:t>
      </w:r>
      <w:r>
        <w:rPr>
          <w:rFonts w:ascii="Arial" w:hAnsi="Arial"/>
          <w:color w:val="17212B"/>
          <w:sz w:val="21"/>
        </w:rPr>
        <w:t>Exception rate as volume scales</w:t>
      </w:r>
    </w:p>
    <w:p>
      <w:pPr>
        <w:spacing w:after="80" w:line="269" w:lineRule="auto"/>
        <w:ind w:left="540" w:hanging="271"/>
      </w:pPr>
      <w:r>
        <w:rPr>
          <w:rFonts w:ascii="Arial" w:hAnsi="Arial"/>
          <w:b/>
          <w:color w:val="C45A2A"/>
          <w:sz w:val="21"/>
        </w:rPr>
        <w:t xml:space="preserve">• </w:t>
      </w:r>
      <w:r>
        <w:rPr>
          <w:rFonts w:ascii="Arial" w:hAnsi="Arial"/>
          <w:color w:val="17212B"/>
          <w:sz w:val="21"/>
        </w:rPr>
        <w:t>Reuse of approved components across multiple workflows</w:t>
      </w:r>
    </w:p>
    <w:p>
      <w:pPr>
        <w:pStyle w:val="Heading1"/>
      </w:pPr>
      <w:r>
        <w:t>4. Lighthouse business cases</w:t>
      </w:r>
    </w:p>
    <w:p>
      <w:pPr>
        <w:pStyle w:val="Heading2"/>
      </w:pPr>
      <w:r>
        <w:t>The Daily Edge</w:t>
      </w:r>
    </w:p>
    <w:p>
      <w:r>
        <w:rPr>
          <w:rFonts w:ascii="Arial" w:hAnsi="Arial"/>
          <w:b/>
          <w:color w:val="0B1F33"/>
          <w:sz w:val="21"/>
        </w:rPr>
        <w:t>Value:</w:t>
      </w:r>
      <w:r>
        <w:rPr>
          <w:rFonts w:ascii="Arial" w:hAnsi="Arial"/>
          <w:color w:val="17212B"/>
          <w:sz w:val="21"/>
        </w:rPr>
        <w:t xml:space="preserve"> Earlier identification of client needs, better prioritization and more consistent preparation.</w:t>
      </w:r>
    </w:p>
    <w:p>
      <w:r>
        <w:rPr>
          <w:rFonts w:ascii="Arial" w:hAnsi="Arial"/>
          <w:b/>
          <w:color w:val="0B1F33"/>
          <w:sz w:val="21"/>
        </w:rPr>
        <w:t>Proof:</w:t>
      </w:r>
      <w:r>
        <w:rPr>
          <w:rFonts w:ascii="Arial" w:hAnsi="Arial"/>
          <w:color w:val="17212B"/>
          <w:sz w:val="21"/>
        </w:rPr>
        <w:t xml:space="preserve"> Advisors repeatedly act on a small number of high-quality signals, preparation time falls, and client outcomes improve without increasing alert fatigue.</w:t>
      </w:r>
    </w:p>
    <w:p>
      <w:pPr>
        <w:pStyle w:val="Heading2"/>
      </w:pPr>
      <w:r>
        <w:t>Meeting preparation and commitment ledger</w:t>
      </w:r>
    </w:p>
    <w:p>
      <w:r>
        <w:rPr>
          <w:rFonts w:ascii="Arial" w:hAnsi="Arial"/>
          <w:b/>
          <w:color w:val="0B1F33"/>
          <w:sz w:val="21"/>
        </w:rPr>
        <w:t>Value:</w:t>
      </w:r>
      <w:r>
        <w:rPr>
          <w:rFonts w:ascii="Arial" w:hAnsi="Arial"/>
          <w:color w:val="17212B"/>
          <w:sz w:val="21"/>
        </w:rPr>
        <w:t xml:space="preserve"> Better meetings, fewer missed promises and faster follow-up.</w:t>
      </w:r>
    </w:p>
    <w:p>
      <w:r>
        <w:rPr>
          <w:rFonts w:ascii="Arial" w:hAnsi="Arial"/>
          <w:b/>
          <w:color w:val="0B1F33"/>
          <w:sz w:val="21"/>
        </w:rPr>
        <w:t>Proof:</w:t>
      </w:r>
      <w:r>
        <w:rPr>
          <w:rFonts w:ascii="Arial" w:hAnsi="Arial"/>
          <w:color w:val="17212B"/>
          <w:sz w:val="21"/>
        </w:rPr>
        <w:t xml:space="preserve"> Preparation and documentation time fall, commitment capture improves, and more commitments are completed on time.</w:t>
      </w:r>
    </w:p>
    <w:p>
      <w:pPr>
        <w:pStyle w:val="Heading2"/>
      </w:pPr>
      <w:r>
        <w:t>Inbox to prepared action</w:t>
      </w:r>
    </w:p>
    <w:p>
      <w:r>
        <w:rPr>
          <w:rFonts w:ascii="Arial" w:hAnsi="Arial"/>
          <w:b/>
          <w:color w:val="0B1F33"/>
          <w:sz w:val="21"/>
        </w:rPr>
        <w:t>Value:</w:t>
      </w:r>
      <w:r>
        <w:rPr>
          <w:rFonts w:ascii="Arial" w:hAnsi="Arial"/>
          <w:color w:val="17212B"/>
          <w:sz w:val="21"/>
        </w:rPr>
        <w:t xml:space="preserve"> Faster response to client requests and less coordination work.</w:t>
      </w:r>
    </w:p>
    <w:p>
      <w:r>
        <w:rPr>
          <w:rFonts w:ascii="Arial" w:hAnsi="Arial"/>
          <w:b/>
          <w:color w:val="0B1F33"/>
          <w:sz w:val="21"/>
        </w:rPr>
        <w:t>Proof:</w:t>
      </w:r>
      <w:r>
        <w:rPr>
          <w:rFonts w:ascii="Arial" w:hAnsi="Arial"/>
          <w:color w:val="17212B"/>
          <w:sz w:val="21"/>
        </w:rPr>
        <w:t xml:space="preserve"> A high percentage of drafts and work packets are accepted or usefully edited, response time falls, and no unapproved communication or action occurs.</w:t>
      </w:r>
    </w:p>
    <w:p>
      <w:pPr>
        <w:pStyle w:val="Heading2"/>
      </w:pPr>
      <w:r>
        <w:t>Specialist idea to relevant relationship</w:t>
      </w:r>
    </w:p>
    <w:p>
      <w:r>
        <w:rPr>
          <w:rFonts w:ascii="Arial" w:hAnsi="Arial"/>
          <w:b/>
          <w:color w:val="0B1F33"/>
          <w:sz w:val="21"/>
        </w:rPr>
        <w:t>Value:</w:t>
      </w:r>
      <w:r>
        <w:rPr>
          <w:rFonts w:ascii="Arial" w:hAnsi="Arial"/>
          <w:color w:val="17212B"/>
          <w:sz w:val="21"/>
        </w:rPr>
        <w:t xml:space="preserve"> Greater reach for the firm's best thinking with less generic distribution.</w:t>
      </w:r>
    </w:p>
    <w:p>
      <w:r>
        <w:rPr>
          <w:rFonts w:ascii="Arial" w:hAnsi="Arial"/>
          <w:b/>
          <w:color w:val="0B1F33"/>
          <w:sz w:val="21"/>
        </w:rPr>
        <w:t>Proof:</w:t>
      </w:r>
      <w:r>
        <w:rPr>
          <w:rFonts w:ascii="Arial" w:hAnsi="Arial"/>
          <w:color w:val="17212B"/>
          <w:sz w:val="21"/>
        </w:rPr>
        <w:t xml:space="preserve"> Relationship teams rate matches as relevant, review time remains low, and client conversations or actions occur for the right reasons.</w:t>
      </w:r>
    </w:p>
    <w:p>
      <w:pPr>
        <w:pStyle w:val="Heading2"/>
      </w:pPr>
      <w:r>
        <w:t>Governed service workflow</w:t>
      </w:r>
    </w:p>
    <w:p>
      <w:r>
        <w:rPr>
          <w:rFonts w:ascii="Arial" w:hAnsi="Arial"/>
          <w:b/>
          <w:color w:val="0B1F33"/>
          <w:sz w:val="21"/>
        </w:rPr>
        <w:t>Value:</w:t>
      </w:r>
      <w:r>
        <w:rPr>
          <w:rFonts w:ascii="Arial" w:hAnsi="Arial"/>
          <w:color w:val="17212B"/>
          <w:sz w:val="21"/>
        </w:rPr>
        <w:t xml:space="preserve"> Lower cycle time, fewer handoffs and more consistent execution.</w:t>
      </w:r>
    </w:p>
    <w:p>
      <w:r>
        <w:rPr>
          <w:rFonts w:ascii="Arial" w:hAnsi="Arial"/>
          <w:b/>
          <w:color w:val="0B1F33"/>
          <w:sz w:val="21"/>
        </w:rPr>
        <w:t>Proof:</w:t>
      </w:r>
      <w:r>
        <w:rPr>
          <w:rFonts w:ascii="Arial" w:hAnsi="Arial"/>
          <w:color w:val="17212B"/>
          <w:sz w:val="21"/>
        </w:rPr>
        <w:t xml:space="preserve"> Straight-through completion rises, exception and rework rates fall, and the control record remains complete.</w:t>
      </w:r>
    </w:p>
    <w:p>
      <w:pPr>
        <w:pStyle w:val="Heading2"/>
      </w:pPr>
      <w:r>
        <w:t>Power Friday</w:t>
      </w:r>
    </w:p>
    <w:p>
      <w:r>
        <w:rPr>
          <w:rFonts w:ascii="Arial" w:hAnsi="Arial"/>
          <w:b/>
          <w:color w:val="0B1F33"/>
          <w:sz w:val="21"/>
        </w:rPr>
        <w:t>Value:</w:t>
      </w:r>
      <w:r>
        <w:rPr>
          <w:rFonts w:ascii="Arial" w:hAnsi="Arial"/>
          <w:color w:val="17212B"/>
          <w:sz w:val="21"/>
        </w:rPr>
        <w:t xml:space="preserve"> Continuous capability improvement grounded in real work.</w:t>
      </w:r>
    </w:p>
    <w:p>
      <w:r>
        <w:rPr>
          <w:rFonts w:ascii="Arial" w:hAnsi="Arial"/>
          <w:b/>
          <w:color w:val="0B1F33"/>
          <w:sz w:val="21"/>
        </w:rPr>
        <w:t>Proof:</w:t>
      </w:r>
      <w:r>
        <w:rPr>
          <w:rFonts w:ascii="Arial" w:hAnsi="Arial"/>
          <w:color w:val="17212B"/>
          <w:sz w:val="21"/>
        </w:rPr>
        <w:t xml:space="preserve"> Employees demonstrate improvement and apply the learning to a real situation. The program is trusted and does not feel like surveillance.</w:t>
      </w:r>
    </w:p>
    <w:p>
      <w:pPr>
        <w:pStyle w:val="Heading2"/>
      </w:pPr>
      <w:r>
        <w:t>Intelligent meeting experience</w:t>
      </w:r>
    </w:p>
    <w:p>
      <w:r>
        <w:rPr>
          <w:rFonts w:ascii="Arial" w:hAnsi="Arial"/>
          <w:b/>
          <w:color w:val="0B1F33"/>
          <w:sz w:val="21"/>
        </w:rPr>
        <w:t>Value:</w:t>
      </w:r>
      <w:r>
        <w:rPr>
          <w:rFonts w:ascii="Arial" w:hAnsi="Arial"/>
          <w:color w:val="17212B"/>
          <w:sz w:val="21"/>
        </w:rPr>
        <w:t xml:space="preserve"> A differentiated decision environment that combines complete client context, the firm's expertise and immediate follow-through.</w:t>
      </w:r>
    </w:p>
    <w:p>
      <w:r>
        <w:rPr>
          <w:rFonts w:ascii="Arial" w:hAnsi="Arial"/>
          <w:b/>
          <w:color w:val="0B1F33"/>
          <w:sz w:val="21"/>
        </w:rPr>
        <w:t>Proof:</w:t>
      </w:r>
      <w:r>
        <w:rPr>
          <w:rFonts w:ascii="Arial" w:hAnsi="Arial"/>
          <w:color w:val="17212B"/>
          <w:sz w:val="21"/>
        </w:rPr>
        <w:t xml:space="preserve"> Clients and bankers find the experience more useful than a static meeting, scenario turnaround falls, commitments are initiated accurately and the human relationship remains central.</w:t>
      </w:r>
    </w:p>
    <w:p>
      <w:pPr>
        <w:pStyle w:val="Heading1"/>
      </w:pPr>
      <w:r>
        <w:t>5. How to prove value</w:t>
      </w:r>
    </w:p>
    <w:p>
      <w:r>
        <w:rPr>
          <w:rFonts w:ascii="Arial" w:hAnsi="Arial"/>
          <w:color w:val="17212B"/>
          <w:sz w:val="21"/>
        </w:rPr>
        <w:t>Every lighthouse should begin with a measured baseline for time, quality, cycle time, exceptions and client or employee experience. Pilots should use comparable cohorts or phased rollout where practical. Self-reported time saved should be complemented by workflow telemetry, sampled observation and outcome data.</w:t>
      </w:r>
    </w:p>
    <w:p>
      <w:r>
        <w:rPr>
          <w:rFonts w:ascii="Arial" w:hAnsi="Arial"/>
          <w:color w:val="17212B"/>
          <w:sz w:val="21"/>
        </w:rPr>
        <w:t>The evaluation period should be long enough to show repeated behavior, not novelty. A useful minimum is six weeks for workflow adoption and a longer horizon for relationship outcomes.</w:t>
      </w:r>
    </w:p>
    <w:p>
      <w:r>
        <w:rPr>
          <w:rFonts w:ascii="Arial" w:hAnsi="Arial"/>
          <w:color w:val="17212B"/>
          <w:sz w:val="21"/>
        </w:rPr>
        <w:t>Recommended pilot gates include:</w:t>
      </w:r>
    </w:p>
    <w:p>
      <w:pPr>
        <w:spacing w:after="80" w:line="269" w:lineRule="auto"/>
        <w:ind w:left="540" w:hanging="271"/>
      </w:pPr>
      <w:r>
        <w:rPr>
          <w:rFonts w:ascii="Arial" w:hAnsi="Arial"/>
          <w:b/>
          <w:color w:val="C45A2A"/>
          <w:sz w:val="21"/>
        </w:rPr>
        <w:t xml:space="preserve">• </w:t>
      </w:r>
      <w:r>
        <w:rPr>
          <w:rFonts w:ascii="Arial" w:hAnsi="Arial"/>
          <w:color w:val="17212B"/>
          <w:sz w:val="21"/>
        </w:rPr>
        <w:t>Strong performance on a domain-specific golden evaluation set</w:t>
      </w:r>
    </w:p>
    <w:p>
      <w:pPr>
        <w:spacing w:after="80" w:line="269" w:lineRule="auto"/>
        <w:ind w:left="540" w:hanging="271"/>
      </w:pPr>
      <w:r>
        <w:rPr>
          <w:rFonts w:ascii="Arial" w:hAnsi="Arial"/>
          <w:b/>
          <w:color w:val="C45A2A"/>
          <w:sz w:val="21"/>
        </w:rPr>
        <w:t xml:space="preserve">• </w:t>
      </w:r>
      <w:r>
        <w:rPr>
          <w:rFonts w:ascii="Arial" w:hAnsi="Arial"/>
          <w:color w:val="17212B"/>
          <w:sz w:val="21"/>
        </w:rPr>
        <w:t>No critical entitlement, confidentiality or unauthorized-action incidents</w:t>
      </w:r>
    </w:p>
    <w:p>
      <w:pPr>
        <w:spacing w:after="80" w:line="269" w:lineRule="auto"/>
        <w:ind w:left="540" w:hanging="271"/>
      </w:pPr>
      <w:r>
        <w:rPr>
          <w:rFonts w:ascii="Arial" w:hAnsi="Arial"/>
          <w:b/>
          <w:color w:val="C45A2A"/>
          <w:sz w:val="21"/>
        </w:rPr>
        <w:t xml:space="preserve">• </w:t>
      </w:r>
      <w:r>
        <w:rPr>
          <w:rFonts w:ascii="Arial" w:hAnsi="Arial"/>
          <w:color w:val="17212B"/>
          <w:sz w:val="21"/>
        </w:rPr>
        <w:t>A sustained repeat-use pattern across the pilot cohort</w:t>
      </w:r>
    </w:p>
    <w:p>
      <w:pPr>
        <w:spacing w:after="80" w:line="269" w:lineRule="auto"/>
        <w:ind w:left="540" w:hanging="271"/>
      </w:pPr>
      <w:r>
        <w:rPr>
          <w:rFonts w:ascii="Arial" w:hAnsi="Arial"/>
          <w:b/>
          <w:color w:val="C45A2A"/>
          <w:sz w:val="21"/>
        </w:rPr>
        <w:t xml:space="preserve">• </w:t>
      </w:r>
      <w:r>
        <w:rPr>
          <w:rFonts w:ascii="Arial" w:hAnsi="Arial"/>
          <w:color w:val="17212B"/>
          <w:sz w:val="21"/>
        </w:rPr>
        <w:t>A majority of prepared outputs accepted or usefully edited</w:t>
      </w:r>
    </w:p>
    <w:p>
      <w:pPr>
        <w:spacing w:after="80" w:line="269" w:lineRule="auto"/>
        <w:ind w:left="540" w:hanging="271"/>
      </w:pPr>
      <w:r>
        <w:rPr>
          <w:rFonts w:ascii="Arial" w:hAnsi="Arial"/>
          <w:b/>
          <w:color w:val="C45A2A"/>
          <w:sz w:val="21"/>
        </w:rPr>
        <w:t xml:space="preserve">• </w:t>
      </w:r>
      <w:r>
        <w:rPr>
          <w:rFonts w:ascii="Arial" w:hAnsi="Arial"/>
          <w:color w:val="17212B"/>
          <w:sz w:val="21"/>
        </w:rPr>
        <w:t>A material improvement in cycle time, preparation time or quality</w:t>
      </w:r>
    </w:p>
    <w:p>
      <w:pPr>
        <w:spacing w:after="80" w:line="269" w:lineRule="auto"/>
        <w:ind w:left="540" w:hanging="271"/>
      </w:pPr>
      <w:r>
        <w:rPr>
          <w:rFonts w:ascii="Arial" w:hAnsi="Arial"/>
          <w:b/>
          <w:color w:val="C45A2A"/>
          <w:sz w:val="21"/>
        </w:rPr>
        <w:t xml:space="preserve">• </w:t>
      </w:r>
      <w:r>
        <w:rPr>
          <w:rFonts w:ascii="Arial" w:hAnsi="Arial"/>
          <w:color w:val="17212B"/>
          <w:sz w:val="21"/>
        </w:rPr>
        <w:t>An irrelevant-alert and exception rate that does not rise with scale</w:t>
      </w:r>
    </w:p>
    <w:p>
      <w:pPr>
        <w:spacing w:after="80" w:line="269" w:lineRule="auto"/>
        <w:ind w:left="540" w:hanging="271"/>
      </w:pPr>
      <w:r>
        <w:rPr>
          <w:rFonts w:ascii="Arial" w:hAnsi="Arial"/>
          <w:b/>
          <w:color w:val="C45A2A"/>
          <w:sz w:val="21"/>
        </w:rPr>
        <w:t xml:space="preserve">• </w:t>
      </w:r>
      <w:r>
        <w:rPr>
          <w:rFonts w:ascii="Arial" w:hAnsi="Arial"/>
          <w:color w:val="17212B"/>
          <w:sz w:val="21"/>
        </w:rPr>
        <w:t>Unit economics within an agreed business envelope</w:t>
      </w:r>
    </w:p>
    <w:p>
      <w:r>
        <w:rPr>
          <w:rFonts w:ascii="Arial" w:hAnsi="Arial"/>
          <w:color w:val="17212B"/>
          <w:sz w:val="21"/>
        </w:rPr>
        <w:t>Thresholds should be set by workflow and risk. A client-facing calculation or execution action requires a higher standard than an internal brainstorming tool.</w:t>
      </w:r>
    </w:p>
    <w:p>
      <w:pPr>
        <w:pStyle w:val="Heading1"/>
      </w:pPr>
      <w:r>
        <w:t>6. Metric guardrails</w:t>
      </w:r>
    </w:p>
    <w:p>
      <w:r>
        <w:rPr>
          <w:rFonts w:ascii="Arial" w:hAnsi="Arial"/>
          <w:color w:val="17212B"/>
          <w:sz w:val="21"/>
        </w:rPr>
        <w:t>The scorecard must be designed so that teams cannot improve the number while weakening the outcome.</w:t>
      </w:r>
    </w:p>
    <w:p>
      <w:pPr>
        <w:spacing w:after="80" w:line="269" w:lineRule="auto"/>
        <w:ind w:left="540" w:hanging="271"/>
      </w:pPr>
      <w:r>
        <w:rPr>
          <w:rFonts w:ascii="Arial" w:hAnsi="Arial"/>
          <w:b/>
          <w:color w:val="C45A2A"/>
          <w:sz w:val="21"/>
        </w:rPr>
        <w:t xml:space="preserve">• </w:t>
      </w:r>
      <w:r>
        <w:rPr>
          <w:rFonts w:ascii="Arial" w:hAnsi="Arial"/>
          <w:color w:val="17212B"/>
          <w:sz w:val="21"/>
        </w:rPr>
        <w:t>Time saved should be measured end to end. A faster draft is not a benefit if review, correction or downstream rework increases.</w:t>
      </w:r>
    </w:p>
    <w:p>
      <w:pPr>
        <w:spacing w:after="80" w:line="269" w:lineRule="auto"/>
        <w:ind w:left="540" w:hanging="271"/>
      </w:pPr>
      <w:r>
        <w:rPr>
          <w:rFonts w:ascii="Arial" w:hAnsi="Arial"/>
          <w:b/>
          <w:color w:val="C45A2A"/>
          <w:sz w:val="21"/>
        </w:rPr>
        <w:t xml:space="preserve">• </w:t>
      </w:r>
      <w:r>
        <w:rPr>
          <w:rFonts w:ascii="Arial" w:hAnsi="Arial"/>
          <w:color w:val="17212B"/>
          <w:sz w:val="21"/>
        </w:rPr>
        <w:t>Acceptance should distinguish unchanged use, useful editing, rejection and passive approval. A high approval rate can be unsafe if users are rubber-stamping.</w:t>
      </w:r>
    </w:p>
    <w:p>
      <w:pPr>
        <w:spacing w:after="80" w:line="269" w:lineRule="auto"/>
        <w:ind w:left="540" w:hanging="271"/>
      </w:pPr>
      <w:r>
        <w:rPr>
          <w:rFonts w:ascii="Arial" w:hAnsi="Arial"/>
          <w:b/>
          <w:color w:val="C45A2A"/>
          <w:sz w:val="21"/>
        </w:rPr>
        <w:t xml:space="preserve">• </w:t>
      </w:r>
      <w:r>
        <w:rPr>
          <w:rFonts w:ascii="Arial" w:hAnsi="Arial"/>
          <w:color w:val="17212B"/>
          <w:sz w:val="21"/>
        </w:rPr>
        <w:t>Proactive recommendations should be measured by useful action and eventual outcome, not clicks or opens.</w:t>
      </w:r>
    </w:p>
    <w:p>
      <w:pPr>
        <w:spacing w:after="80" w:line="269" w:lineRule="auto"/>
        <w:ind w:left="540" w:hanging="271"/>
      </w:pPr>
      <w:r>
        <w:rPr>
          <w:rFonts w:ascii="Arial" w:hAnsi="Arial"/>
          <w:b/>
          <w:color w:val="C45A2A"/>
          <w:sz w:val="21"/>
        </w:rPr>
        <w:t xml:space="preserve">• </w:t>
      </w:r>
      <w:r>
        <w:rPr>
          <w:rFonts w:ascii="Arial" w:hAnsi="Arial"/>
          <w:color w:val="17212B"/>
          <w:sz w:val="21"/>
        </w:rPr>
        <w:t>Straight-through processing should be paired with error, complaint and retrospective exception sampling. Suppressing exceptions is not automation success.</w:t>
      </w:r>
    </w:p>
    <w:p>
      <w:pPr>
        <w:spacing w:after="80" w:line="269" w:lineRule="auto"/>
        <w:ind w:left="540" w:hanging="271"/>
      </w:pPr>
      <w:r>
        <w:rPr>
          <w:rFonts w:ascii="Arial" w:hAnsi="Arial"/>
          <w:b/>
          <w:color w:val="C45A2A"/>
          <w:sz w:val="21"/>
        </w:rPr>
        <w:t xml:space="preserve">• </w:t>
      </w:r>
      <w:r>
        <w:rPr>
          <w:rFonts w:ascii="Arial" w:hAnsi="Arial"/>
          <w:color w:val="17212B"/>
          <w:sz w:val="21"/>
        </w:rPr>
        <w:t>Client memory should be measured by accuracy, freshness and usefulness, not number of facts retained.</w:t>
      </w:r>
    </w:p>
    <w:p>
      <w:pPr>
        <w:spacing w:after="80" w:line="269" w:lineRule="auto"/>
        <w:ind w:left="540" w:hanging="271"/>
      </w:pPr>
      <w:r>
        <w:rPr>
          <w:rFonts w:ascii="Arial" w:hAnsi="Arial"/>
          <w:b/>
          <w:color w:val="C45A2A"/>
          <w:sz w:val="21"/>
        </w:rPr>
        <w:t xml:space="preserve">• </w:t>
      </w:r>
      <w:r>
        <w:rPr>
          <w:rFonts w:ascii="Arial" w:hAnsi="Arial"/>
          <w:color w:val="17212B"/>
          <w:sz w:val="21"/>
        </w:rPr>
        <w:t>Specialist reach should be paired with relevance, suitability and expiration. More distribution is not inherently better.</w:t>
      </w:r>
    </w:p>
    <w:p>
      <w:pPr>
        <w:spacing w:after="80" w:line="269" w:lineRule="auto"/>
        <w:ind w:left="540" w:hanging="271"/>
      </w:pPr>
      <w:r>
        <w:rPr>
          <w:rFonts w:ascii="Arial" w:hAnsi="Arial"/>
          <w:b/>
          <w:color w:val="C45A2A"/>
          <w:sz w:val="21"/>
        </w:rPr>
        <w:t xml:space="preserve">• </w:t>
      </w:r>
      <w:r>
        <w:rPr>
          <w:rFonts w:ascii="Arial" w:hAnsi="Arial"/>
          <w:color w:val="17212B"/>
          <w:sz w:val="21"/>
        </w:rPr>
        <w:t>Power Friday should be measured by demonstrated capability transfer, not attendance, time spent or completion.</w:t>
      </w:r>
    </w:p>
    <w:p>
      <w:pPr>
        <w:spacing w:after="80" w:line="269" w:lineRule="auto"/>
        <w:ind w:left="540" w:hanging="271"/>
      </w:pPr>
      <w:r>
        <w:rPr>
          <w:rFonts w:ascii="Arial" w:hAnsi="Arial"/>
          <w:b/>
          <w:color w:val="C45A2A"/>
          <w:sz w:val="21"/>
        </w:rPr>
        <w:t xml:space="preserve">• </w:t>
      </w:r>
      <w:r>
        <w:rPr>
          <w:rFonts w:ascii="Arial" w:hAnsi="Arial"/>
          <w:color w:val="17212B"/>
          <w:sz w:val="21"/>
        </w:rPr>
        <w:t>Revenue attribution should use comparable cohorts and an appropriate time horizon. It should not claim that every AI-supported interaction caused the outcome.</w:t>
      </w:r>
    </w:p>
    <w:p>
      <w:pPr>
        <w:spacing w:after="80" w:line="269" w:lineRule="auto"/>
        <w:ind w:left="540" w:hanging="271"/>
      </w:pPr>
      <w:r>
        <w:rPr>
          <w:rFonts w:ascii="Arial" w:hAnsi="Arial"/>
          <w:b/>
          <w:color w:val="C45A2A"/>
          <w:sz w:val="21"/>
        </w:rPr>
        <w:t xml:space="preserve">• </w:t>
      </w:r>
      <w:r>
        <w:rPr>
          <w:rFonts w:ascii="Arial" w:hAnsi="Arial"/>
          <w:color w:val="17212B"/>
          <w:sz w:val="21"/>
        </w:rPr>
        <w:t>Expert attention should be measured by where the capacity went and what it improved, not simply by hours released.</w:t>
      </w:r>
    </w:p>
    <w:p>
      <w:pPr>
        <w:spacing w:after="80" w:line="269" w:lineRule="auto"/>
        <w:ind w:left="540" w:hanging="271"/>
      </w:pPr>
      <w:r>
        <w:rPr>
          <w:rFonts w:ascii="Arial" w:hAnsi="Arial"/>
          <w:b/>
          <w:color w:val="C45A2A"/>
          <w:sz w:val="21"/>
        </w:rPr>
        <w:t xml:space="preserve">• </w:t>
      </w:r>
      <w:r>
        <w:rPr>
          <w:rFonts w:ascii="Arial" w:hAnsi="Arial"/>
          <w:color w:val="17212B"/>
          <w:sz w:val="21"/>
        </w:rPr>
        <w:t>Guided and Command Mode should be analyzed by task success and user preference. Movement between modes should never be treated as promotion, proficiency or adoption success.</w:t>
      </w:r>
    </w:p>
    <w:p>
      <w:pPr>
        <w:pStyle w:val="Heading1"/>
      </w:pPr>
      <w:r>
        <w:t>7. Investment stage gates</w:t>
      </w:r>
    </w:p>
    <w:p>
      <w:pPr>
        <w:pStyle w:val="Heading2"/>
      </w:pPr>
      <w:r>
        <w:t>Explore</w:t>
      </w:r>
    </w:p>
    <w:p>
      <w:r>
        <w:rPr>
          <w:rFonts w:ascii="Arial" w:hAnsi="Arial"/>
          <w:color w:val="17212B"/>
          <w:sz w:val="21"/>
        </w:rPr>
        <w:t>The problem is important, the current baseline is known and there is evidence that AI can materially improve the workflow.</w:t>
      </w:r>
    </w:p>
    <w:p>
      <w:pPr>
        <w:pStyle w:val="Heading2"/>
      </w:pPr>
      <w:r>
        <w:t>Pilot</w:t>
      </w:r>
    </w:p>
    <w:p>
      <w:r>
        <w:rPr>
          <w:rFonts w:ascii="Arial" w:hAnsi="Arial"/>
          <w:color w:val="17212B"/>
          <w:sz w:val="21"/>
        </w:rPr>
        <w:t>The use case has a small cohort, a named owner, an evaluation set and a prepare-only or low-risk experience.</w:t>
      </w:r>
    </w:p>
    <w:p>
      <w:pPr>
        <w:pStyle w:val="Heading2"/>
      </w:pPr>
      <w:r>
        <w:t>Productize</w:t>
      </w:r>
    </w:p>
    <w:p>
      <w:r>
        <w:rPr>
          <w:rFonts w:ascii="Arial" w:hAnsi="Arial"/>
          <w:color w:val="17212B"/>
          <w:sz w:val="21"/>
        </w:rPr>
        <w:t>Users repeatedly rely on the workflow, controls perform as designed, support is manageable and the outcome is better than the current process.</w:t>
      </w:r>
    </w:p>
    <w:p>
      <w:pPr>
        <w:pStyle w:val="Heading2"/>
      </w:pPr>
      <w:r>
        <w:t>Scale</w:t>
      </w:r>
    </w:p>
    <w:p>
      <w:r>
        <w:rPr>
          <w:rFonts w:ascii="Arial" w:hAnsi="Arial"/>
          <w:color w:val="17212B"/>
          <w:sz w:val="21"/>
        </w:rPr>
        <w:t>The capability remains reliable as volume and user diversity increase, unit economics hold and the operating owner is prepared to support it.</w:t>
      </w:r>
    </w:p>
    <w:p>
      <w:pPr>
        <w:pStyle w:val="Heading2"/>
      </w:pPr>
      <w:r>
        <w:t>Retire</w:t>
      </w:r>
    </w:p>
    <w:p>
      <w:r>
        <w:rPr>
          <w:rFonts w:ascii="Arial" w:hAnsi="Arial"/>
          <w:color w:val="17212B"/>
          <w:sz w:val="21"/>
        </w:rPr>
        <w:t>The workflow does not produce sufficient value, duplicates a stronger capability, fails its control standards or no longer has an accountable owner.</w:t>
      </w:r>
    </w:p>
    <w:p>
      <w:r>
        <w:rPr>
          <w:rFonts w:ascii="Arial" w:hAnsi="Arial"/>
          <w:color w:val="17212B"/>
          <w:sz w:val="21"/>
        </w:rPr>
        <w:t>No capability should be scaled because the model can perform an impressive demonstration. It should scale because the complete workflow is measurably better.</w:t>
      </w:r>
    </w:p>
    <w:p>
      <w:pPr>
        <w:pStyle w:val="Heading1"/>
      </w:pPr>
      <w:r>
        <w:t>8. Operating model</w:t>
      </w:r>
    </w:p>
    <w:p>
      <w:pPr>
        <w:pStyle w:val="Heading2"/>
      </w:pPr>
      <w:r>
        <w:t>Coach platform team</w:t>
      </w:r>
    </w:p>
    <w:p>
      <w:r>
        <w:rPr>
          <w:rFonts w:ascii="Arial" w:hAnsi="Arial"/>
          <w:color w:val="17212B"/>
          <w:sz w:val="21"/>
        </w:rPr>
        <w:t>Owns orchestration, common user experience, event and action contracts, Client Agent infrastructure, evaluation tooling, observability, model routing and the common control plane.</w:t>
      </w:r>
    </w:p>
    <w:p>
      <w:pPr>
        <w:pStyle w:val="Heading2"/>
      </w:pPr>
      <w:r>
        <w:t>Domain product pods</w:t>
      </w:r>
    </w:p>
    <w:p>
      <w:r>
        <w:rPr>
          <w:rFonts w:ascii="Arial" w:hAnsi="Arial"/>
          <w:color w:val="17212B"/>
          <w:sz w:val="21"/>
        </w:rPr>
        <w:t>Investment, lending, wealth planning, service and operations pods own the domain skills, authoritative sources, user experience and business outcomes for their workflows.</w:t>
      </w:r>
    </w:p>
    <w:p>
      <w:pPr>
        <w:pStyle w:val="Heading2"/>
      </w:pPr>
      <w:r>
        <w:t>Business and agent owners</w:t>
      </w:r>
    </w:p>
    <w:p>
      <w:r>
        <w:rPr>
          <w:rFonts w:ascii="Arial" w:hAnsi="Arial"/>
          <w:color w:val="17212B"/>
          <w:sz w:val="21"/>
        </w:rPr>
        <w:t>Every production agent has a named product owner and business/control owner accountable for purpose, permissions, quality, service levels, incidents, recertification and retirement.</w:t>
      </w:r>
    </w:p>
    <w:p>
      <w:pPr>
        <w:pStyle w:val="Heading2"/>
      </w:pPr>
      <w:r>
        <w:t>Data stewards</w:t>
      </w:r>
    </w:p>
    <w:p>
      <w:r>
        <w:rPr>
          <w:rFonts w:ascii="Arial" w:hAnsi="Arial"/>
          <w:color w:val="17212B"/>
          <w:sz w:val="21"/>
        </w:rPr>
        <w:t>Own authoritative sources, definitions, identity resolution, data quality, lineage, retention and correction processes.</w:t>
      </w:r>
    </w:p>
    <w:p>
      <w:pPr>
        <w:pStyle w:val="Heading2"/>
      </w:pPr>
      <w:r>
        <w:t>Risk, legal, compliance, supervision and cybersecurity</w:t>
      </w:r>
    </w:p>
    <w:p>
      <w:r>
        <w:rPr>
          <w:rFonts w:ascii="Arial" w:hAnsi="Arial"/>
          <w:color w:val="17212B"/>
          <w:sz w:val="21"/>
        </w:rPr>
        <w:t>Help design reusable control patterns, autonomy classes, evaluation requirements and escalation processes. They are embedded early rather than asked to approve a finished product at the end.</w:t>
      </w:r>
    </w:p>
    <w:p>
      <w:pPr>
        <w:pStyle w:val="Heading2"/>
      </w:pPr>
      <w:r>
        <w:t>Operations owners</w:t>
      </w:r>
    </w:p>
    <w:p>
      <w:r>
        <w:rPr>
          <w:rFonts w:ascii="Arial" w:hAnsi="Arial"/>
          <w:color w:val="17212B"/>
          <w:sz w:val="21"/>
        </w:rPr>
        <w:t>Own deterministic execution, exception handling, process redesign and the transition from manual processing to intelligent supervision.</w:t>
      </w:r>
    </w:p>
    <w:p>
      <w:pPr>
        <w:pStyle w:val="Heading2"/>
      </w:pPr>
      <w:r>
        <w:t>Field councils and market champions</w:t>
      </w:r>
    </w:p>
    <w:p>
      <w:r>
        <w:rPr>
          <w:rFonts w:ascii="Arial" w:hAnsi="Arial"/>
          <w:color w:val="17212B"/>
          <w:sz w:val="21"/>
        </w:rPr>
        <w:t>Help select workflows, test experiences, shape adoption and identify where the system does not reflect real client work. Top performers and developing colleagues should both be represented.</w:t>
      </w:r>
    </w:p>
    <w:p>
      <w:pPr>
        <w:pStyle w:val="Heading2"/>
      </w:pPr>
      <w:r>
        <w:t>Measurement and finance partners</w:t>
      </w:r>
    </w:p>
    <w:p>
      <w:r>
        <w:rPr>
          <w:rFonts w:ascii="Arial" w:hAnsi="Arial"/>
          <w:color w:val="17212B"/>
          <w:sz w:val="21"/>
        </w:rPr>
        <w:t>Establish baselines, validate value realization and prevent activity metrics or theoretical time savings from being presented as realized economic value.</w:t>
      </w:r>
    </w:p>
    <w:p>
      <w:pPr>
        <w:pStyle w:val="Heading1"/>
      </w:pPr>
      <w:r>
        <w:t>9. Governance cadence</w:t>
      </w:r>
    </w:p>
    <w:p>
      <w:pPr>
        <w:pStyle w:val="Heading2"/>
      </w:pPr>
      <w:r>
        <w:t>Weekly production review</w:t>
      </w:r>
    </w:p>
    <w:p>
      <w:r>
        <w:rPr>
          <w:rFonts w:ascii="Arial" w:hAnsi="Arial"/>
          <w:color w:val="17212B"/>
          <w:sz w:val="21"/>
        </w:rPr>
        <w:t>Reliability, latency, quality, alerts, incidents, exceptions and user feedback.</w:t>
      </w:r>
    </w:p>
    <w:p>
      <w:pPr>
        <w:pStyle w:val="Heading2"/>
      </w:pPr>
      <w:r>
        <w:t>Monthly use-case council</w:t>
      </w:r>
    </w:p>
    <w:p>
      <w:r>
        <w:rPr>
          <w:rFonts w:ascii="Arial" w:hAnsi="Arial"/>
          <w:color w:val="17212B"/>
          <w:sz w:val="21"/>
        </w:rPr>
        <w:t>Workflow adoption, client and employee outcomes, control performance, capacity realization and decisions to fix, expand, pause or retire.</w:t>
      </w:r>
    </w:p>
    <w:p>
      <w:pPr>
        <w:pStyle w:val="Heading2"/>
      </w:pPr>
      <w:r>
        <w:t>Quarterly investment and autonomy review</w:t>
      </w:r>
    </w:p>
    <w:p>
      <w:r>
        <w:rPr>
          <w:rFonts w:ascii="Arial" w:hAnsi="Arial"/>
          <w:color w:val="17212B"/>
          <w:sz w:val="21"/>
        </w:rPr>
        <w:t>Portfolio prioritization, unit economics, autonomy-level changes, agent recertification and alignment with the end-state vision.</w:t>
      </w:r>
    </w:p>
    <w:p>
      <w:pPr>
        <w:pStyle w:val="Heading2"/>
      </w:pPr>
      <w:r>
        <w:t>Annual strategy review</w:t>
      </w:r>
    </w:p>
    <w:p>
      <w:r>
        <w:rPr>
          <w:rFonts w:ascii="Arial" w:hAnsi="Arial"/>
          <w:color w:val="17212B"/>
          <w:sz w:val="21"/>
        </w:rPr>
        <w:t>Progress against client outcomes, relationship growth, workforce capability, operating model change and the long-term platform roadmap.</w:t>
      </w:r>
    </w:p>
    <w:p>
      <w:pPr>
        <w:pStyle w:val="Heading1"/>
      </w:pPr>
      <w:r>
        <w:t>10. Adoption model</w:t>
      </w:r>
    </w:p>
    <w:p>
      <w:r>
        <w:rPr>
          <w:rFonts w:ascii="Arial" w:hAnsi="Arial"/>
          <w:color w:val="17212B"/>
          <w:sz w:val="21"/>
        </w:rPr>
        <w:t>Adoption should be designed around complete workflows, not product demonstrations. Each release should answer a practical question such as, "What will this do for me on Monday morning?"</w:t>
      </w:r>
    </w:p>
    <w:p>
      <w:r>
        <w:rPr>
          <w:rFonts w:ascii="Arial" w:hAnsi="Arial"/>
          <w:color w:val="17212B"/>
          <w:sz w:val="21"/>
        </w:rPr>
        <w:t>The rollout model should include small lighthouse cohorts, rapid correction, market champions, visible leadership participation and role-based examples. Power Friday can provide protected time to learn and practice, but it should not compensate for a workflow that is unreliable or difficult to use.</w:t>
      </w:r>
    </w:p>
    <w:p>
      <w:r>
        <w:rPr>
          <w:rFonts w:ascii="Arial" w:hAnsi="Arial"/>
          <w:color w:val="17212B"/>
          <w:sz w:val="21"/>
        </w:rPr>
        <w:t>The system should learn from natural behavior such as acceptance, edits, overrides, dismissals and completed actions. Feedback requests should be selective and easy to answer.</w:t>
      </w:r>
    </w:p>
    <w:p>
      <w:pPr>
        <w:pStyle w:val="Heading1"/>
      </w:pPr>
      <w:r>
        <w:t>11. Business-case risks to manage explicitly</w:t>
      </w:r>
    </w:p>
    <w:p>
      <w:pPr>
        <w:spacing w:after="80" w:line="269" w:lineRule="auto"/>
        <w:ind w:left="540" w:hanging="271"/>
      </w:pPr>
      <w:r>
        <w:rPr>
          <w:rFonts w:ascii="Arial" w:hAnsi="Arial"/>
          <w:b/>
          <w:color w:val="C45A2A"/>
          <w:sz w:val="21"/>
        </w:rPr>
        <w:t xml:space="preserve">• </w:t>
      </w:r>
      <w:r>
        <w:rPr>
          <w:rFonts w:ascii="Arial" w:hAnsi="Arial"/>
          <w:color w:val="17212B"/>
          <w:sz w:val="21"/>
        </w:rPr>
        <w:t>Time saved may not become client capacity if the surrounding workflow remains unchanged.</w:t>
      </w:r>
    </w:p>
    <w:p>
      <w:pPr>
        <w:spacing w:after="80" w:line="269" w:lineRule="auto"/>
        <w:ind w:left="540" w:hanging="271"/>
      </w:pPr>
      <w:r>
        <w:rPr>
          <w:rFonts w:ascii="Arial" w:hAnsi="Arial"/>
          <w:b/>
          <w:color w:val="C45A2A"/>
          <w:sz w:val="21"/>
        </w:rPr>
        <w:t xml:space="preserve">• </w:t>
      </w:r>
      <w:r>
        <w:rPr>
          <w:rFonts w:ascii="Arial" w:hAnsi="Arial"/>
          <w:color w:val="17212B"/>
          <w:sz w:val="21"/>
        </w:rPr>
        <w:t>Better analysis may not create value if it does not lead to an appropriate client action.</w:t>
      </w:r>
    </w:p>
    <w:p>
      <w:pPr>
        <w:spacing w:after="80" w:line="269" w:lineRule="auto"/>
        <w:ind w:left="540" w:hanging="271"/>
      </w:pPr>
      <w:r>
        <w:rPr>
          <w:rFonts w:ascii="Arial" w:hAnsi="Arial"/>
          <w:b/>
          <w:color w:val="C45A2A"/>
          <w:sz w:val="21"/>
        </w:rPr>
        <w:t xml:space="preserve">• </w:t>
      </w:r>
      <w:r>
        <w:rPr>
          <w:rFonts w:ascii="Arial" w:hAnsi="Arial"/>
          <w:color w:val="17212B"/>
          <w:sz w:val="21"/>
        </w:rPr>
        <w:t>Too many proactive signals can destroy trust and increase cognitive load.</w:t>
      </w:r>
    </w:p>
    <w:p>
      <w:pPr>
        <w:spacing w:after="80" w:line="269" w:lineRule="auto"/>
        <w:ind w:left="540" w:hanging="271"/>
      </w:pPr>
      <w:r>
        <w:rPr>
          <w:rFonts w:ascii="Arial" w:hAnsi="Arial"/>
          <w:b/>
          <w:color w:val="C45A2A"/>
          <w:sz w:val="21"/>
        </w:rPr>
        <w:t xml:space="preserve">• </w:t>
      </w:r>
      <w:r>
        <w:rPr>
          <w:rFonts w:ascii="Arial" w:hAnsi="Arial"/>
          <w:color w:val="17212B"/>
          <w:sz w:val="21"/>
        </w:rPr>
        <w:t>Operations automation can merely move cost into exception handling if the underlying process is not standardized.</w:t>
      </w:r>
    </w:p>
    <w:p>
      <w:pPr>
        <w:spacing w:after="80" w:line="269" w:lineRule="auto"/>
        <w:ind w:left="540" w:hanging="271"/>
      </w:pPr>
      <w:r>
        <w:rPr>
          <w:rFonts w:ascii="Arial" w:hAnsi="Arial"/>
          <w:b/>
          <w:color w:val="C45A2A"/>
          <w:sz w:val="21"/>
        </w:rPr>
        <w:t xml:space="preserve">• </w:t>
      </w:r>
      <w:r>
        <w:rPr>
          <w:rFonts w:ascii="Arial" w:hAnsi="Arial"/>
          <w:color w:val="17212B"/>
          <w:sz w:val="21"/>
        </w:rPr>
        <w:t>Specialist broadcasting can create more noise if matching quality and expiration are weak.</w:t>
      </w:r>
    </w:p>
    <w:p>
      <w:pPr>
        <w:spacing w:after="80" w:line="269" w:lineRule="auto"/>
        <w:ind w:left="540" w:hanging="271"/>
      </w:pPr>
      <w:r>
        <w:rPr>
          <w:rFonts w:ascii="Arial" w:hAnsi="Arial"/>
          <w:b/>
          <w:color w:val="C45A2A"/>
          <w:sz w:val="21"/>
        </w:rPr>
        <w:t xml:space="preserve">• </w:t>
      </w:r>
      <w:r>
        <w:rPr>
          <w:rFonts w:ascii="Arial" w:hAnsi="Arial"/>
          <w:color w:val="17212B"/>
          <w:sz w:val="21"/>
        </w:rPr>
        <w:t>Client memory can become inaccurate or intrusive without validation, permissions and expiration.</w:t>
      </w:r>
    </w:p>
    <w:p>
      <w:pPr>
        <w:spacing w:after="80" w:line="269" w:lineRule="auto"/>
        <w:ind w:left="540" w:hanging="271"/>
      </w:pPr>
      <w:r>
        <w:rPr>
          <w:rFonts w:ascii="Arial" w:hAnsi="Arial"/>
          <w:b/>
          <w:color w:val="C45A2A"/>
          <w:sz w:val="21"/>
        </w:rPr>
        <w:t xml:space="preserve">• </w:t>
      </w:r>
      <w:r>
        <w:rPr>
          <w:rFonts w:ascii="Arial" w:hAnsi="Arial"/>
          <w:color w:val="17212B"/>
          <w:sz w:val="21"/>
        </w:rPr>
        <w:t>Power Friday can fail culturally if employees believe development data will be used for hidden evaluation.</w:t>
      </w:r>
    </w:p>
    <w:p>
      <w:pPr>
        <w:spacing w:after="80" w:line="269" w:lineRule="auto"/>
        <w:ind w:left="540" w:hanging="271"/>
      </w:pPr>
      <w:r>
        <w:rPr>
          <w:rFonts w:ascii="Arial" w:hAnsi="Arial"/>
          <w:b/>
          <w:color w:val="C45A2A"/>
          <w:sz w:val="21"/>
        </w:rPr>
        <w:t xml:space="preserve">• </w:t>
      </w:r>
      <w:r>
        <w:rPr>
          <w:rFonts w:ascii="Arial" w:hAnsi="Arial"/>
          <w:color w:val="17212B"/>
          <w:sz w:val="21"/>
        </w:rPr>
        <w:t>A client-facing experience can damage trust if latency, assumptions or human handoffs are not carefully designed.</w:t>
      </w:r>
    </w:p>
    <w:p>
      <w:r>
        <w:rPr>
          <w:rFonts w:ascii="Arial" w:hAnsi="Arial"/>
          <w:color w:val="17212B"/>
          <w:sz w:val="21"/>
        </w:rPr>
        <w:t>The purpose of the scorecard and operating model is to keep the strategy anchored in outcomes. The ambition is not to create the most AI activity. It is to create the most trusted, responsive and intelligent client experience.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tabs>
        <w:tab w:val="right" w:pos="9360"/>
      </w:tabs>
    </w:pPr>
    <w:r>
      <w:rPr>
        <w:rFonts w:ascii="Arial" w:hAnsi="Arial"/>
        <w:b/>
        <w:color w:val="5E6B78"/>
        <w:sz w:val="17"/>
      </w:rPr>
      <w:t>DISCUSSION DRAFT  |  AUGUST 2026</w:t>
    </w:r>
    <w:r>
      <w:tab/>
    </w:r>
    <w:r>
      <w:rPr>
        <w:rFonts w:ascii="Arial" w:hAnsi="Arial"/>
        <w:color w:val="5E6B78"/>
        <w:sz w:val="17"/>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Arial" w:hAnsi="Arial"/>
        <w:b/>
        <w:color w:val="5E6B78"/>
        <w:sz w:val="17"/>
      </w:rPr>
      <w:t>AI-NATIVE PRIVATE BANK  |  VALUE AND OPERATING MODEL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00" w:line="264" w:lineRule="auto"/>
    </w:pPr>
    <w:rPr>
      <w:rFonts w:ascii="Arial" w:hAnsi="Arial"/>
      <w:color w:val="17212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40" w:after="160"/>
      <w:outlineLvl w:val="0"/>
    </w:pPr>
    <w:rPr>
      <w:rFonts w:asciiTheme="majorHAnsi" w:eastAsiaTheme="majorEastAsia" w:hAnsiTheme="majorHAnsi" w:cstheme="majorBidi" w:ascii="Arial" w:hAnsi="Arial"/>
      <w:b/>
      <w:bCs/>
      <w:color w:val="0B1F33"/>
      <w:sz w:val="32"/>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rial" w:hAnsi="Arial"/>
      <w:b/>
      <w:bCs/>
      <w:color w:val="C45A2A"/>
      <w:sz w:val="25"/>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rial" w:hAnsi="Arial"/>
      <w:b/>
      <w:bCs/>
      <w:color w:val="2B6CB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pBdr>
        <w:bottom w:val="single" w:sz="8" w:space="4" w:color="4F81BD" w:themeColor="accent1"/>
      </w:pBdr>
      <w:spacing w:after="160" w:line="240" w:lineRule="auto" w:before="0"/>
      <w:contextualSpacing/>
    </w:pPr>
    <w:rPr>
      <w:rFonts w:asciiTheme="majorHAnsi" w:eastAsiaTheme="majorEastAsia" w:hAnsiTheme="majorHAnsi" w:cstheme="majorBidi" w:ascii="Arial" w:hAnsi="Arial"/>
      <w:b/>
      <w:color w:val="0B1F33"/>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keepLines/>
      <w:numPr>
        <w:ilvl w:val="1"/>
      </w:numPr>
      <w:spacing w:before="0" w:after="240"/>
    </w:pPr>
    <w:rPr>
      <w:rFonts w:asciiTheme="majorHAnsi" w:eastAsiaTheme="majorEastAsia" w:hAnsiTheme="majorHAnsi" w:cstheme="majorBidi" w:ascii="Arial" w:hAnsi="Arial"/>
      <w:b w:val="0"/>
      <w:i/>
      <w:iCs/>
      <w:color w:val="5E6B78"/>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69" w:lineRule="auto"/>
      <w:ind w:left="540" w:hanging="271"/>
      <w:contextualSpacing/>
    </w:pPr>
    <w:rPr>
      <w:rFonts w:ascii="Arial" w:hAnsi="Arial"/>
      <w:color w:val="17212B"/>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69" w:lineRule="auto"/>
      <w:ind w:left="540" w:hanging="271"/>
      <w:contextualSpacing/>
    </w:pPr>
    <w:rPr>
      <w:rFonts w:ascii="Arial" w:hAnsi="Arial"/>
      <w:color w:val="17212B"/>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cker">
    <w:name w:val="Kicker"/>
    <w:pPr>
      <w:keepNext/>
      <w:spacing w:after="160"/>
    </w:pPr>
    <w:rPr>
      <w:rFonts w:ascii="Arial" w:hAnsi="Arial"/>
      <w:b/>
      <w:color w:val="C45A2A"/>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Outcomes, economics, ownership and funding gates</dc:title>
  <dc:subject>AI-Native Private Bank</dc:subject>
  <dc:creator>J.P. Morgan Private Bank</dc:creator>
  <cp:keywords/>
  <dc:description>generated by python-docx</dc:description>
  <cp:lastModifiedBy/>
  <cp:revision>1</cp:revision>
  <dcterms:created xsi:type="dcterms:W3CDTF">2013-12-23T23:15:00Z</dcterms:created>
  <dcterms:modified xsi:type="dcterms:W3CDTF">2013-12-23T23:15:00Z</dcterms:modified>
  <cp:category/>
</cp:coreProperties>
</file>