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6G Network Architecture Evolution or Revolution</w:t>
      </w:r>
    </w:p>
    <w:p>
      <w:pPr>
        <w:pStyle w:val="Subtitle"/>
      </w:pPr>
      <w:r>
        <w:t>Detailed technical panel minutes</w:t>
      </w:r>
    </w:p>
    <w:p>
      <w:r>
        <w:t>The panel examined how 6G architecture can build on 5G investments while supporting AI, sensing, and terrestrial and non-terrestrial connectivity. The strongest shared direction was standalone 6G with a manageable migration path. Participants also emphasized software flexibility, revenue-generating services, and testing of autonomous behavior before deployment. The architecture options discussed remain proposals or speaker viewpoints unless explicitly qualified below.</w:t>
      </w:r>
    </w:p>
    <w:p>
      <w:pPr>
        <w:pStyle w:val="Heading1"/>
      </w:pPr>
      <w:r>
        <w:t>1 Session information</w:t>
      </w:r>
    </w:p>
    <w:p>
      <w:r>
        <w:t>Source: raw-6G architecture.docx, supplied by the user. The transcript captures a moderated panel titled Network Architecture for 6G Evolution or Revolution. The meeting date, forum name, venue, and precise duration are not reliably established.</w:t>
      </w:r>
    </w:p>
    <w:tbl>
      <w:tblPr>
        <w:tblW w:type="auto" w:w="0"/>
        <w:tblLayout w:type="fixed"/>
        <w:tblLook w:firstColumn="1" w:firstRow="1" w:lastColumn="0" w:lastRow="0" w:noHBand="0" w:noVBand="1" w:val="04A0"/>
      </w:tblPr>
      <w:tblGrid>
        <w:gridCol w:w="2160"/>
        <w:gridCol w:w="5184"/>
        <w:gridCol w:w="2592"/>
      </w:tblGrid>
      <w:tr>
        <w:trPr>
          <w:tblHeader/>
        </w:trPr>
        <w:tc>
          <w:tcPr>
            <w:tcW w:type="dxa" w:w="3312"/>
            <w:tcBorders>
              <w:top w:val="single" w:sz="4" w:color="D9D9D9"/>
              <w:left w:val="single" w:sz="4" w:color="D9D9D9"/>
              <w:bottom w:val="single" w:sz="4" w:color="D9D9D9"/>
              <w:right w:val="single" w:sz="4" w:color="D9D9D9"/>
            </w:tcBorders>
            <w:shd w:fill="E6EBF0"/>
            <w:tcMar>
              <w:top w:w="90" w:type="dxa"/>
              <w:left w:w="90" w:type="dxa"/>
              <w:bottom w:w="90" w:type="dxa"/>
              <w:right w:w="90" w:type="dxa"/>
            </w:tcMar>
          </w:tcPr>
          <w:p>
            <w:pPr>
              <w:spacing w:after="60"/>
            </w:pPr>
            <w:r>
              <w:rPr>
                <w:b/>
                <w:sz w:val="20"/>
              </w:rPr>
              <w:t>Participant</w:t>
            </w:r>
          </w:p>
        </w:tc>
        <w:tc>
          <w:tcPr>
            <w:tcW w:type="dxa" w:w="3312"/>
            <w:tcBorders>
              <w:top w:val="single" w:sz="4" w:color="D9D9D9"/>
              <w:left w:val="single" w:sz="4" w:color="D9D9D9"/>
              <w:bottom w:val="single" w:sz="4" w:color="D9D9D9"/>
              <w:right w:val="single" w:sz="4" w:color="D9D9D9"/>
            </w:tcBorders>
            <w:shd w:fill="E6EBF0"/>
            <w:tcMar>
              <w:top w:w="90" w:type="dxa"/>
              <w:left w:w="90" w:type="dxa"/>
              <w:bottom w:w="90" w:type="dxa"/>
              <w:right w:w="90" w:type="dxa"/>
            </w:tcMar>
          </w:tcPr>
          <w:p>
            <w:pPr>
              <w:spacing w:after="60"/>
            </w:pPr>
            <w:r>
              <w:rPr>
                <w:b/>
                <w:sz w:val="20"/>
              </w:rPr>
              <w:t>Role stated in the transcript</w:t>
            </w:r>
          </w:p>
        </w:tc>
        <w:tc>
          <w:tcPr>
            <w:tcW w:type="dxa" w:w="3312"/>
            <w:tcBorders>
              <w:top w:val="single" w:sz="4" w:color="D9D9D9"/>
              <w:left w:val="single" w:sz="4" w:color="D9D9D9"/>
              <w:bottom w:val="single" w:sz="4" w:color="D9D9D9"/>
              <w:right w:val="single" w:sz="4" w:color="D9D9D9"/>
            </w:tcBorders>
            <w:shd w:fill="E6EBF0"/>
            <w:tcMar>
              <w:top w:w="90" w:type="dxa"/>
              <w:left w:w="90" w:type="dxa"/>
              <w:bottom w:w="90" w:type="dxa"/>
              <w:right w:w="90" w:type="dxa"/>
            </w:tcMar>
          </w:tcPr>
          <w:p>
            <w:pPr>
              <w:spacing w:after="60"/>
            </w:pPr>
            <w:r>
              <w:rPr>
                <w:b/>
                <w:sz w:val="20"/>
              </w:rPr>
              <w:t>Attribution quality</w:t>
            </w:r>
          </w:p>
        </w:tc>
      </w:tr>
      <w:tr>
        <w:trPr/>
        <w:tc>
          <w:tcPr>
            <w:tcW w:type="dxa" w:w="21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Moderator Mohammed</w:t>
            </w:r>
          </w:p>
        </w:tc>
        <w:tc>
          <w:tcPr>
            <w:tcW w:type="dxa" w:w="518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Principal Analyst at Opensignal</w:t>
            </w:r>
          </w:p>
        </w:tc>
        <w:tc>
          <w:tcPr>
            <w:tcW w:type="dxa" w:w="259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Surname is unclear</w:t>
            </w:r>
          </w:p>
        </w:tc>
      </w:tr>
      <w:tr>
        <w:trPr/>
        <w:tc>
          <w:tcPr>
            <w:tcW w:type="dxa" w:w="2160"/>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Paul Harris</w:t>
            </w:r>
          </w:p>
        </w:tc>
        <w:tc>
          <w:tcPr>
            <w:tcW w:type="dxa" w:w="5184"/>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Senior Principal Wireless Architect in the office of the CTO at VIAVI Solutions</w:t>
            </w:r>
          </w:p>
        </w:tc>
        <w:tc>
          <w:tcPr>
            <w:tcW w:type="dxa" w:w="2592"/>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Name and role reasonably clear</w:t>
            </w:r>
          </w:p>
        </w:tc>
      </w:tr>
      <w:tr>
        <w:trPr/>
        <w:tc>
          <w:tcPr>
            <w:tcW w:type="dxa" w:w="21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Art King</w:t>
            </w:r>
          </w:p>
        </w:tc>
        <w:tc>
          <w:tcPr>
            <w:tcW w:type="dxa" w:w="518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Director of Product Marketing at Cohere Technologies</w:t>
            </w:r>
          </w:p>
        </w:tc>
        <w:tc>
          <w:tcPr>
            <w:tcW w:type="dxa" w:w="259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Company spelling normalized from transcription</w:t>
            </w:r>
          </w:p>
        </w:tc>
      </w:tr>
      <w:tr>
        <w:trPr/>
        <w:tc>
          <w:tcPr>
            <w:tcW w:type="dxa" w:w="2160"/>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Nokia architecture representative</w:t>
            </w:r>
          </w:p>
        </w:tc>
        <w:tc>
          <w:tcPr>
            <w:tcW w:type="dxa" w:w="5184"/>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SNS JU 6G architecture working group chair and core network architecture standardization team leader at Nokia</w:t>
            </w:r>
          </w:p>
        </w:tc>
        <w:tc>
          <w:tcPr>
            <w:tcW w:type="dxa" w:w="2592"/>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Name is rendered inconsistently as Amir or similar</w:t>
            </w:r>
          </w:p>
        </w:tc>
      </w:tr>
      <w:tr>
        <w:trPr/>
        <w:tc>
          <w:tcPr>
            <w:tcW w:type="dxa" w:w="21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Alok</w:t>
            </w:r>
          </w:p>
        </w:tc>
        <w:tc>
          <w:tcPr>
            <w:tcW w:type="dxa" w:w="518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Orange representative providing the operator perspective</w:t>
            </w:r>
          </w:p>
        </w:tc>
        <w:tc>
          <w:tcPr>
            <w:tcW w:type="dxa" w:w="259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Full name and exact role not established</w:t>
            </w:r>
          </w:p>
        </w:tc>
      </w:tr>
    </w:tbl>
    <w:p/>
    <w:p>
      <w:r>
        <w:t>The moderator invited Alok to join after the opening introductions. Some turns are poorly separated, particularly the initial migration response and the use-case discussion. Those contributions are attributed to the operator perspective where the surrounding dialogue supports it; uncertain personal attribution is not presented as fact.</w:t>
      </w:r>
    </w:p>
    <w:p>
      <w:r>
        <w:t>Obvious transcription errors have been corrected to 3GPP, 6G, RAN, core, ISAC, NTN, standalone, AI domain, packet-switched domain, and MRSS. In the satellite discussion, “non trusted network” is interpreted as non-terrestrial network from context. These minutes report the session rather than independently verify current standards, commercial announcements, or deployment statistics.</w:t>
      </w:r>
    </w:p>
    <w:p>
      <w:pPr>
        <w:pStyle w:val="Heading1"/>
      </w:pPr>
      <w:r>
        <w:t>2 Executive summary</w:t>
      </w:r>
    </w:p>
    <w:p>
      <w:pPr>
        <w:pStyle w:val="ListBullet"/>
      </w:pPr>
      <w:r>
        <w:t>The panel favored standalone 6G as the target architecture, using 5G standalone capabilities and operator investments as a foundation.</w:t>
      </w:r>
    </w:p>
    <w:p>
      <w:pPr>
        <w:pStyle w:val="ListBullet"/>
      </w:pPr>
      <w:r>
        <w:t>Evolution and more fundamental changes may coexist. Some capabilities associated with 6G, especially AI and ISAC, are being pulled into earlier deployments by commercial and defense demand.</w:t>
      </w:r>
    </w:p>
    <w:p>
      <w:pPr>
        <w:pStyle w:val="ListBullet"/>
      </w:pPr>
      <w:r>
        <w:t>A candidate AI architecture separates an intent-processing AI domain from deterministic connectivity and operator services in a functional or packet-switched domain.</w:t>
      </w:r>
    </w:p>
    <w:p>
      <w:pPr>
        <w:pStyle w:val="ListBullet"/>
      </w:pPr>
      <w:r>
        <w:t>AI should be assessed across the device, RAN, edge, cloud, and core according to the functions it improves and the services it enables.</w:t>
      </w:r>
    </w:p>
    <w:p>
      <w:pPr>
        <w:pStyle w:val="ListBullet"/>
      </w:pPr>
      <w:r>
        <w:t>Open interfaces and software-based RAN were presented as ways to accelerate external innovation and reduce dependence on purpose-built hardware release cycles.</w:t>
      </w:r>
    </w:p>
    <w:p>
      <w:pPr>
        <w:pStyle w:val="ListBullet"/>
      </w:pPr>
      <w:r>
        <w:t>Migration should preserve useful assets, reuse spectrum through MRSS, and maintain interworking with 5G.</w:t>
      </w:r>
    </w:p>
    <w:p>
      <w:pPr>
        <w:pStyle w:val="ListBullet"/>
      </w:pPr>
      <w:r>
        <w:t>Early adoption needs credible revenue streams and use-case value. Higher capability alone was not considered a sufficient commercial rationale.</w:t>
      </w:r>
    </w:p>
    <w:p>
      <w:pPr>
        <w:pStyle w:val="ListBullet"/>
      </w:pPr>
      <w:r>
        <w:t>Testing must extend beyond conformance to autonomous behavior, digital-twin-style emulation, ISAC, new radio bands, and TN and NTN integration.</w:t>
      </w:r>
    </w:p>
    <w:p>
      <w:pPr>
        <w:pStyle w:val="Heading1"/>
      </w:pPr>
      <w:r>
        <w:t>3 Evolution versus revolution</w:t>
      </w:r>
    </w:p>
    <w:p>
      <w:pPr>
        <w:pStyle w:val="Heading2"/>
      </w:pPr>
      <w:r>
        <w:t>3 1 Capabilities arriving before a new generation</w:t>
      </w:r>
    </w:p>
    <w:p>
      <w:r>
        <w:t>Art King described the answer as a combination of evolution and revolution. AI imperatives are accelerating adoption of capabilities that had been associated with 6G. He also said defense demand is bringing ISAC capabilities forward. This blurs the boundary between capabilities developed during 5G and capabilities eventually incorporated into 6G.</w:t>
      </w:r>
    </w:p>
    <w:p>
      <w:r>
        <w:t>From the operator viewpoint, he stressed a clean architecture that is easy to install and avoids repeating deployment difficulties experienced with 5G. The panel did not identify an entirely new network as necessary for every capability.</w:t>
      </w:r>
    </w:p>
    <w:p>
      <w:pPr>
        <w:pStyle w:val="Heading2"/>
      </w:pPr>
      <w:r>
        <w:t>3 2 The 5G standalone foundation</w:t>
      </w:r>
    </w:p>
    <w:p>
      <w:r>
        <w:t>The Nokia representative argued that 5G standalone should be the starting point for architectural evolution. He recalled that the early 5G non-standalone approach attached 5G NR to a 4G core to accelerate rollout and higher speeds. A single standalone 6G architecture was presented as a way to make value-creating features available from day one.</w:t>
      </w:r>
    </w:p>
    <w:p>
      <w:r>
        <w:t>He cited a GSA report indicating that around 20 percent of commercial deployments were standalone. The report date and denominator were not specified, so the number is retained only as a statistic quoted during the panel.</w:t>
      </w:r>
    </w:p>
    <w:p>
      <w:r>
        <w:t>Existing operator assets and investment must be considered. The design process should examine features accumulated across 5G and 5G-Advanced releases, retain those justified by business and societal needs, improve appropriate capabilities, and introduce new features for the initial 6G release. The speaker identified Release 21 as the day-one 6G release and Release 20 as the study phase; these are statements from the session.</w:t>
      </w:r>
    </w:p>
    <w:p>
      <w:pPr>
        <w:pStyle w:val="Heading1"/>
      </w:pPr>
      <w:r>
        <w:t>4 AI native architecture and deterministic control</w:t>
      </w:r>
    </w:p>
    <w:p>
      <w:pPr>
        <w:pStyle w:val="Heading2"/>
      </w:pPr>
      <w:r>
        <w:t>4 1 Moving AI into the control plane</w:t>
      </w:r>
    </w:p>
    <w:p>
      <w:r>
        <w:t>The Nokia representative distinguished AI already used in network management and autonomous networking from the question now being studied: how to integrate agentic AI into the control plane. He referred to AI agents on UEs, within the network, and in external third-party systems. The architectural objective is to support these capabilities efficiently and create opportunities for monetization.</w:t>
      </w:r>
    </w:p>
    <w:p>
      <w:r>
        <w:t>AI-native design means considering AI and agent capabilities when defining functions and protocols. It also needs to account for the faster evolution of agent capabilities compared with normal standards-release cycles.</w:t>
      </w:r>
    </w:p>
    <w:p>
      <w:pPr>
        <w:pStyle w:val="Heading2"/>
      </w:pPr>
      <w:r>
        <w:t>4 2 Candidate AI domain and functional domain</w:t>
      </w:r>
    </w:p>
    <w:p>
      <w:r>
        <w:t>One option described introduces an AI domain in the core to interpret and process intents received from devices. A separate functional or packet-switched domain continues to provide deterministic connectivity and operator services through standardized protocols. The speaker described this option as supported by Nokia and some Western operators and vendors, rather than as an agreed architecture.</w:t>
      </w:r>
    </w:p>
    <w:tbl>
      <w:tblPr>
        <w:tblW w:type="auto" w:w="0"/>
        <w:tblLayout w:type="fixed"/>
        <w:tblLook w:firstColumn="1" w:firstRow="1" w:lastColumn="0" w:lastRow="0" w:noHBand="0" w:noVBand="1" w:val="04A0"/>
      </w:tblPr>
      <w:tblGrid>
        <w:gridCol w:w="2304"/>
        <w:gridCol w:w="3600"/>
        <w:gridCol w:w="4032"/>
      </w:tblGrid>
      <w:tr>
        <w:trPr>
          <w:tblHeader/>
        </w:trPr>
        <w:tc>
          <w:tcPr>
            <w:tcW w:type="dxa" w:w="3312"/>
            <w:tcBorders>
              <w:top w:val="single" w:sz="4" w:color="D9D9D9"/>
              <w:left w:val="single" w:sz="4" w:color="D9D9D9"/>
              <w:bottom w:val="single" w:sz="4" w:color="D9D9D9"/>
              <w:right w:val="single" w:sz="4" w:color="D9D9D9"/>
            </w:tcBorders>
            <w:shd w:fill="E6EBF0"/>
            <w:tcMar>
              <w:top w:w="90" w:type="dxa"/>
              <w:left w:w="90" w:type="dxa"/>
              <w:bottom w:w="90" w:type="dxa"/>
              <w:right w:w="90" w:type="dxa"/>
            </w:tcMar>
          </w:tcPr>
          <w:p>
            <w:pPr>
              <w:spacing w:after="60"/>
            </w:pPr>
            <w:r>
              <w:rPr>
                <w:b/>
                <w:sz w:val="20"/>
              </w:rPr>
              <w:t>Domain</w:t>
            </w:r>
          </w:p>
        </w:tc>
        <w:tc>
          <w:tcPr>
            <w:tcW w:type="dxa" w:w="3312"/>
            <w:tcBorders>
              <w:top w:val="single" w:sz="4" w:color="D9D9D9"/>
              <w:left w:val="single" w:sz="4" w:color="D9D9D9"/>
              <w:bottom w:val="single" w:sz="4" w:color="D9D9D9"/>
              <w:right w:val="single" w:sz="4" w:color="D9D9D9"/>
            </w:tcBorders>
            <w:shd w:fill="E6EBF0"/>
            <w:tcMar>
              <w:top w:w="90" w:type="dxa"/>
              <w:left w:w="90" w:type="dxa"/>
              <w:bottom w:w="90" w:type="dxa"/>
              <w:right w:w="90" w:type="dxa"/>
            </w:tcMar>
          </w:tcPr>
          <w:p>
            <w:pPr>
              <w:spacing w:after="60"/>
            </w:pPr>
            <w:r>
              <w:rPr>
                <w:b/>
                <w:sz w:val="20"/>
              </w:rPr>
              <w:t>Proposed responsibility</w:t>
            </w:r>
          </w:p>
        </w:tc>
        <w:tc>
          <w:tcPr>
            <w:tcW w:type="dxa" w:w="3312"/>
            <w:tcBorders>
              <w:top w:val="single" w:sz="4" w:color="D9D9D9"/>
              <w:left w:val="single" w:sz="4" w:color="D9D9D9"/>
              <w:bottom w:val="single" w:sz="4" w:color="D9D9D9"/>
              <w:right w:val="single" w:sz="4" w:color="D9D9D9"/>
            </w:tcBorders>
            <w:shd w:fill="E6EBF0"/>
            <w:tcMar>
              <w:top w:w="90" w:type="dxa"/>
              <w:left w:w="90" w:type="dxa"/>
              <w:bottom w:w="90" w:type="dxa"/>
              <w:right w:w="90" w:type="dxa"/>
            </w:tcMar>
          </w:tcPr>
          <w:p>
            <w:pPr>
              <w:spacing w:after="60"/>
            </w:pPr>
            <w:r>
              <w:rPr>
                <w:b/>
                <w:sz w:val="20"/>
              </w:rPr>
              <w:t>Relationship to other capabilities</w:t>
            </w:r>
          </w:p>
        </w:tc>
      </w:tr>
      <w:tr>
        <w:trPr/>
        <w:tc>
          <w:tcPr>
            <w:tcW w:type="dxa" w:w="230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AI domain</w:t>
            </w:r>
          </w:p>
        </w:tc>
        <w:tc>
          <w:tcPr>
            <w:tcW w:type="dxa" w:w="360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Interpret and process device or agent intents</w:t>
            </w:r>
          </w:p>
        </w:tc>
        <w:tc>
          <w:tcPr>
            <w:tcW w:type="dxa" w:w="403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May invoke functions in the connectivity domain</w:t>
            </w:r>
          </w:p>
        </w:tc>
      </w:tr>
      <w:tr>
        <w:trPr/>
        <w:tc>
          <w:tcPr>
            <w:tcW w:type="dxa" w:w="2304"/>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Functional or packet-switched domain</w:t>
            </w:r>
          </w:p>
        </w:tc>
        <w:tc>
          <w:tcPr>
            <w:tcW w:type="dxa" w:w="3600"/>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Deterministic mobility management, session management, and operator services</w:t>
            </w:r>
          </w:p>
        </w:tc>
        <w:tc>
          <w:tcPr>
            <w:tcW w:type="dxa" w:w="4032"/>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Uses standardized protocols and evolves from 5G SBA principles</w:t>
            </w:r>
          </w:p>
        </w:tc>
      </w:tr>
    </w:tbl>
    <w:p/>
    <w:p>
      <w:r>
        <w:t>The intent is to enable flexible agent behavior while retaining predictable connectivity procedures. The deterministic domain would not necessarily remain an unchanged 5G core: enhancements could still be standardized using the service-based architecture as a starting point. No finalized interfaces, intent language, arbitration rules, or fallback mechanisms were specified.</w:t>
      </w:r>
    </w:p>
    <w:p>
      <w:pPr>
        <w:pStyle w:val="Heading2"/>
      </w:pPr>
      <w:r>
        <w:t>4 3 AI across all network domains</w:t>
      </w:r>
    </w:p>
    <w:p>
      <w:r>
        <w:t>Asked where intelligence should reside, the Nokia representative described a system-wide direction rather than a RAN-only starting point. Examples included AI in the RAN, software-based RAN, GPU-enabled services and optimization, and beam selection. Deployment choices should follow where AI improves network functionality or creates new use cases and monetization opportunities.</w:t>
      </w:r>
    </w:p>
    <w:p>
      <w:r>
        <w:t>The panel did not select a mandatory end-to-end implementation, a placement algorithm, or a single intelligence location. The response supported investigating AI throughout the system.</w:t>
      </w:r>
    </w:p>
    <w:p>
      <w:pPr>
        <w:pStyle w:val="Heading1"/>
      </w:pPr>
      <w:r>
        <w:t>5 Open interfaces and software based RAN</w:t>
      </w:r>
    </w:p>
    <w:p>
      <w:r>
        <w:t>Art King described Open RAN as valuable for innovators outside the core RAN technology ecosystem. Open interfaces allow external developers to understand behavior and prototype applications rather than interact only with an opaque OEM implementation.</w:t>
      </w:r>
    </w:p>
    <w:p>
      <w:r>
        <w:t>He argued that moving beyond fixed-configuration, DSP-based hardware coupled to purpose-written software could improve operator agility. Software deployment could allow incremental features without waiting for dedicated hardware releases. He compared this potential innovation pace with enterprise and internet software development.</w:t>
      </w:r>
    </w:p>
    <w:p>
      <w:r>
        <w:t>The argument was directional, not a confirmation that all 6G hardware will be replaceable by software. The operator contribution separately emphasized hardware capability and compatibility for AI, ISAC, and NTN. No Open RAN interface or controller was established as mandatory for day-one 6G.</w:t>
      </w:r>
    </w:p>
    <w:p>
      <w:r>
        <w:t>Later, Art cited Nokia’s support for dApps through an E3 interface as an example of exposing innovation at a fundamental base-station level. The panel did not supply an interface specification or make a standards decision about it.</w:t>
      </w:r>
    </w:p>
    <w:p>
      <w:pPr>
        <w:pStyle w:val="Heading1"/>
      </w:pPr>
      <w:r>
        <w:t>6 Optimization and the operator viewpoint</w:t>
      </w:r>
    </w:p>
    <w:p>
      <w:pPr>
        <w:pStyle w:val="Heading2"/>
      </w:pPr>
      <w:r>
        <w:t>6 1 Use case driven optimization</w:t>
      </w:r>
    </w:p>
    <w:p>
      <w:r>
        <w:t>The moderator asked whether optimization and RAN intelligence would be optional features or required from initial deployment. Alok responded with a use-case-oriented example: if physical resource block utilization exceeds 92 percent, how should AI respond, how should load balancing operate, how should UPF assignment be handled, and how should high availability be maintained?</w:t>
      </w:r>
    </w:p>
    <w:p>
      <w:r>
        <w:t>The 92 percent value was an illustrative trigger in the discussion, not an agreed 3GPP threshold or operating policy. The relationship between radio utilization and UPF selection was raised as a question, without a specified control procedure.</w:t>
      </w:r>
    </w:p>
    <w:p>
      <w:r>
        <w:t>The exchange supported including optimization within the AI discussion, but did not resolve whether a particular controller, algorithm, or optimization capability would be mandatory.</w:t>
      </w:r>
    </w:p>
    <w:p>
      <w:pPr>
        <w:pStyle w:val="Heading2"/>
      </w:pPr>
      <w:r>
        <w:t>6 2 Revenue as the basis for early adoption</w:t>
      </w:r>
    </w:p>
    <w:p>
      <w:r>
        <w:t>Alok argued that investment in a new generation requires new revenue and value streams to support a sustainable model. One concept was to make AI available to subscribers as a service or “AI factory,” allowing customers to use AI capabilities while generating revenue for operators.</w:t>
      </w:r>
    </w:p>
    <w:p>
      <w:r>
        <w:t>He mentioned partnerships involving Nokia, NVIDIA, and operators as examples of the commercial direction. No specific agreement, contract, launch, price, or measurable business case was established in the transcript.</w:t>
      </w:r>
    </w:p>
    <w:p>
      <w:r>
        <w:t>The moderator contrasted these expectations with continuing challenges in identifying 5G returns and use cases. The panel did not approve a business model; it highlighted revenue credibility as a prerequisite for early 6G adoption.</w:t>
      </w:r>
    </w:p>
    <w:p>
      <w:pPr>
        <w:pStyle w:val="Heading1"/>
      </w:pPr>
      <w:r>
        <w:t>7 Migration and asset reuse</w:t>
      </w:r>
    </w:p>
    <w:p>
      <w:pPr>
        <w:pStyle w:val="Heading2"/>
      </w:pPr>
      <w:r>
        <w:t>7 1 Incremental migration</w:t>
      </w:r>
    </w:p>
    <w:p>
      <w:r>
        <w:t>The operator perspective rejected shutting down or completely replacing the current network in one step. The proposed progression was from 5G to standalone and advanced capabilities, then to 6G-ready infrastructure, followed by 6G deployment. Readiness must include both software and compatible hardware.</w:t>
      </w:r>
    </w:p>
    <w:p>
      <w:r>
        <w:t>Paul Harris supported reusing architecture where appropriate. He identified opportunities in the core, RAN, distributed units, and AI deployed closer to the edge, while acknowledging that some radio and test capabilities will require substantial new work.</w:t>
      </w:r>
    </w:p>
    <w:p>
      <w:pPr>
        <w:pStyle w:val="Heading2"/>
      </w:pPr>
      <w:r>
        <w:t>7 2 Architecture options and test complexity</w:t>
      </w:r>
    </w:p>
    <w:p>
      <w:r>
        <w:t>Paul said the number of architectural options directly increases development and testing scope. Testing multiple core arrangements, non-standalone integration, and later standalone migration creates additional effort. He favored standalone-first simplification while acknowledging discussion of a possible 6G-core-first non-standalone option.</w:t>
      </w:r>
    </w:p>
    <w:p>
      <w:r>
        <w:t>The panel did not fully define that alternative or select it. Paul indicated that core-first and MRSS-related approaches were being discussed as ways to reduce migration complexity.</w:t>
      </w:r>
    </w:p>
    <w:p>
      <w:pPr>
        <w:pStyle w:val="Heading2"/>
      </w:pPr>
      <w:r>
        <w:t>7 3 Spectrum reuse through MRSS</w:t>
      </w:r>
    </w:p>
    <w:p>
      <w:r>
        <w:t>The Nokia representative described MRSS, multi-RAT spectrum sharing, as the principal migration path and characterized it as agreed in 3GPP. The moderator similarly said it had broad operator and vendor agreement. These are reported statements from the panel, not an independently verified standards conclusion.</w:t>
      </w:r>
    </w:p>
    <w:p>
      <w:r>
        <w:t>The speaker contrasted MRSS with the 4G-to-5G dynamic spectrum sharing experience, where existing control-signal patterns created overhead. He said analyses suggested MRSS overhead could be minimal, on the order of a couple of percentage points. The transcript includes no supporting study, configuration, or test conditions.</w:t>
      </w:r>
    </w:p>
    <w:p>
      <w:r>
        <w:t>The intended benefit is to reuse existing 5G spectrum for 6G, including lower bands, while also using new bands through mechanisms such as carrier aggregation. Upper 6 GHz and 7 GHz were cited as examples of possible additional spectrum, without confirmation of an allocation or availability in any region.</w:t>
      </w:r>
    </w:p>
    <w:p>
      <w:r>
        <w:t>Existing sites and spectrum assets, together with AI-based improvements in spectral efficiency, were presented as important to a smooth migration. Core functions and SBA would be reused where sensible, with new functions added to enable commercially useful services.</w:t>
      </w:r>
    </w:p>
    <w:p>
      <w:pPr>
        <w:pStyle w:val="Heading1"/>
      </w:pPr>
      <w:r>
        <w:t>8 Use cases and coexistence of generations</w:t>
      </w:r>
    </w:p>
    <w:p>
      <w:r>
        <w:t>In the discussion of how 5G and 6G will work together, the operator perspective emphasized connecting underserved users and supporting devices across terrestrial and non-terrestrial networks. Requirements such as lower latency and higher throughput could favor 6G for particular services, while other use cases would remain on 5G.</w:t>
      </w:r>
    </w:p>
    <w:p>
      <w:r>
        <w:t>The same contribution predicted continued 5G and 6G coexistence and suggested older generations such as 2G and 3G might eventually exit. No retirement schedule or region-specific commitment was provided.</w:t>
      </w:r>
    </w:p>
    <w:p>
      <w:r>
        <w:t>Art King argued that major use cases can arise unexpectedly during a generation rather than being fully anticipated at its inception. He used the rapid expansion of AI around 2022 to illustrate how demand can change after an architecture is designed. His historical examples were conversational illustrations rather than verified chronology.</w:t>
      </w:r>
    </w:p>
    <w:p>
      <w:r>
        <w:t>The practical design implication was to preserve flexibility and interfaces that let new capabilities be added. The panel did not identify a confirmed killer 6G use case or specify how private networks, enterprise services, or fixed wireless access would migrate.</w:t>
      </w:r>
    </w:p>
    <w:p>
      <w:pPr>
        <w:pStyle w:val="Heading1"/>
      </w:pPr>
      <w:r>
        <w:t>9 Testing autonomous networks and new radio capabilities</w:t>
      </w:r>
    </w:p>
    <w:p>
      <w:pPr>
        <w:pStyle w:val="Heading2"/>
      </w:pPr>
      <w:r>
        <w:t>9 1 Testing before architecture is finalized</w:t>
      </w:r>
    </w:p>
    <w:p>
      <w:r>
        <w:t>Paul recommended breaking complexity into pieces that can be evaluated early. Testing can proceed by capability or domain even while the overall architecture remains open. The challenge is to avoid multiplying test scope through excessive architectural alternatives.</w:t>
      </w:r>
    </w:p>
    <w:p>
      <w:pPr>
        <w:pStyle w:val="Heading2"/>
      </w:pPr>
      <w:r>
        <w:t>9 2 Beyond basic conformance</w:t>
      </w:r>
    </w:p>
    <w:p>
      <w:r>
        <w:t>Migration may reuse much of the architecture, but new radio bands require appropriate channel models. ISAC introduces additional questions about testability and whether existing planning, deployment, monitoring, and optimization methods are sufficient.</w:t>
      </w:r>
    </w:p>
    <w:p>
      <w:r>
        <w:t>Automation, optimization, and self-healing introduce behavior that is difficult to anticipate. Paul emphasized categorizing and evaluating such behavior before deployment to avoid unexpected outcomes in live networks.</w:t>
      </w:r>
    </w:p>
    <w:p>
      <w:r>
        <w:t>Digital-twin-style approaches and richer emulation were presented as increasingly important, allowing teams to evaluate system behavior ahead of time rather than rely only on basic conformance. No particular digital twin platform, test case set, metric, or acceptance criterion was selected.</w:t>
      </w:r>
    </w:p>
    <w:p>
      <w:pPr>
        <w:pStyle w:val="Heading1"/>
      </w:pPr>
      <w:r>
        <w:t>10 Terrestrial and non terrestrial integration</w:t>
      </w:r>
    </w:p>
    <w:p>
      <w:pPr>
        <w:pStyle w:val="Heading2"/>
      </w:pPr>
      <w:r>
        <w:t>10 1 Standards and proprietary direct to device systems</w:t>
      </w:r>
    </w:p>
    <w:p>
      <w:r>
        <w:t>Paul described parallel developments: proprietary direct-to-device systems have demonstrated practical services, while standardized 5G NR NTN continues to evolve. He argued that the industry needs to consider how these paths can operate together in the nearer term.</w:t>
      </w:r>
    </w:p>
    <w:p>
      <w:r>
        <w:t>Integration questions include operation in the same band and support for standards-based NTN devices alongside ordinary 4G or 5G devices served through proprietary approaches. The discussion did not settle coexistence rules or a common interworking mechanism.</w:t>
      </w:r>
    </w:p>
    <w:p>
      <w:pPr>
        <w:pStyle w:val="Heading2"/>
      </w:pPr>
      <w:r>
        <w:t>10 2 Expectations for 6G</w:t>
      </w:r>
    </w:p>
    <w:p>
      <w:r>
        <w:t>The desired 6G direction is more native terrestrial and non-terrestrial interworking using standardized devices. Paul suggested proprietary providers may also want to move toward such a path, but did not report a formal commitment from any provider.</w:t>
      </w:r>
    </w:p>
    <w:p>
      <w:pPr>
        <w:pStyle w:val="Heading2"/>
      </w:pPr>
      <w:r>
        <w:t>10 3 NTN test challenges</w:t>
      </w:r>
    </w:p>
    <w:p>
      <w:pPr>
        <w:pStyle w:val="ListBullet"/>
      </w:pPr>
      <w:r>
        <w:t>A satellite constellation cannot be evaluated through conventional drive testing alone.</w:t>
      </w:r>
    </w:p>
    <w:p>
      <w:pPr>
        <w:pStyle w:val="ListBullet"/>
      </w:pPr>
      <w:r>
        <w:t>Test teams need to identify suitable field networks and determine which scenarios require emulation.</w:t>
      </w:r>
    </w:p>
    <w:p>
      <w:pPr>
        <w:pStyle w:val="ListBullet"/>
      </w:pPr>
      <w:r>
        <w:t>Radio testing must cover difficult conditions, including delay and effects transcribed ambiguously in the source; no precise parameter is invented here.</w:t>
      </w:r>
    </w:p>
    <w:p>
      <w:pPr>
        <w:pStyle w:val="ListBullet"/>
      </w:pPr>
      <w:r>
        <w:t>Handover between access domains is a central integration issue.</w:t>
      </w:r>
    </w:p>
    <w:p>
      <w:pPr>
        <w:pStyle w:val="ListBullet"/>
      </w:pPr>
      <w:r>
        <w:t>Core interaction delays and access to network capabilities must also be assessed.</w:t>
      </w:r>
    </w:p>
    <w:p>
      <w:r>
        <w:t>Paul emphasized the additional complexity created by combining terrestrial and non-terrestrial operation. The panel stated a vision of native interworking but did not define mobility procedures, timer values, latency limits, or a final architecture.</w:t>
      </w:r>
    </w:p>
    <w:p>
      <w:pPr>
        <w:pStyle w:val="Heading1"/>
      </w:pPr>
      <w:r>
        <w:t>11 Audience question on uplink and downlink scheduling</w:t>
      </w:r>
    </w:p>
    <w:p>
      <w:r>
        <w:t>An audience question asked about possible disaggregation between downlink and uplink and how the 6G scheduler might evolve. The wording is noisy, but the moderator’s restatement supports this interpretation.</w:t>
      </w:r>
    </w:p>
    <w:p>
      <w:r>
        <w:t>The response described scheduling needs as use-case dependent. Some applications have a stronger uplink dependency and need greater prioritization of uplink traffic. The scheduler was described as a vendor design consideration.</w:t>
      </w:r>
    </w:p>
    <w:p>
      <w:r>
        <w:t>Service-level agreements and slicing were mentioned as possible ways to prioritize traffic when capacity cannot be increased beyond a given point. The answer did not confirm separate uplink and downlink architectures, a standardized scheduler, or a mandated scheduling algorithm.</w:t>
      </w:r>
    </w:p>
    <w:p>
      <w:pPr>
        <w:pStyle w:val="Heading1"/>
      </w:pPr>
      <w:r>
        <w:t>12 Closing views on standalone deployment</w:t>
      </w:r>
    </w:p>
    <w:p>
      <w:r>
        <w:t>The moderator requested brief final views on whether early commercial 6G networks would operate independently or depend heavily on 5G.</w:t>
      </w:r>
    </w:p>
    <w:tbl>
      <w:tblPr>
        <w:tblW w:type="auto" w:w="0"/>
        <w:tblLayout w:type="fixed"/>
        <w:tblLook w:firstColumn="1" w:firstRow="1" w:lastColumn="0" w:lastRow="0" w:noHBand="0" w:noVBand="1" w:val="04A0"/>
      </w:tblPr>
      <w:tblGrid>
        <w:gridCol w:w="2304"/>
        <w:gridCol w:w="4320"/>
        <w:gridCol w:w="3312"/>
      </w:tblGrid>
      <w:tr>
        <w:trPr>
          <w:tblHeader/>
        </w:trPr>
        <w:tc>
          <w:tcPr>
            <w:tcW w:type="dxa" w:w="3312"/>
            <w:tcBorders>
              <w:top w:val="single" w:sz="4" w:color="D9D9D9"/>
              <w:left w:val="single" w:sz="4" w:color="D9D9D9"/>
              <w:bottom w:val="single" w:sz="4" w:color="D9D9D9"/>
              <w:right w:val="single" w:sz="4" w:color="D9D9D9"/>
            </w:tcBorders>
            <w:shd w:fill="E6EBF0"/>
            <w:tcMar>
              <w:top w:w="90" w:type="dxa"/>
              <w:left w:w="90" w:type="dxa"/>
              <w:bottom w:w="90" w:type="dxa"/>
              <w:right w:w="90" w:type="dxa"/>
            </w:tcMar>
          </w:tcPr>
          <w:p>
            <w:pPr>
              <w:spacing w:after="60"/>
            </w:pPr>
            <w:r>
              <w:rPr>
                <w:b/>
                <w:sz w:val="20"/>
              </w:rPr>
              <w:t>Perspective</w:t>
            </w:r>
          </w:p>
        </w:tc>
        <w:tc>
          <w:tcPr>
            <w:tcW w:type="dxa" w:w="3312"/>
            <w:tcBorders>
              <w:top w:val="single" w:sz="4" w:color="D9D9D9"/>
              <w:left w:val="single" w:sz="4" w:color="D9D9D9"/>
              <w:bottom w:val="single" w:sz="4" w:color="D9D9D9"/>
              <w:right w:val="single" w:sz="4" w:color="D9D9D9"/>
            </w:tcBorders>
            <w:shd w:fill="E6EBF0"/>
            <w:tcMar>
              <w:top w:w="90" w:type="dxa"/>
              <w:left w:w="90" w:type="dxa"/>
              <w:bottom w:w="90" w:type="dxa"/>
              <w:right w:w="90" w:type="dxa"/>
            </w:tcMar>
          </w:tcPr>
          <w:p>
            <w:pPr>
              <w:spacing w:after="60"/>
            </w:pPr>
            <w:r>
              <w:rPr>
                <w:b/>
                <w:sz w:val="20"/>
              </w:rPr>
              <w:t>Closing position</w:t>
            </w:r>
          </w:p>
        </w:tc>
        <w:tc>
          <w:tcPr>
            <w:tcW w:type="dxa" w:w="3312"/>
            <w:tcBorders>
              <w:top w:val="single" w:sz="4" w:color="D9D9D9"/>
              <w:left w:val="single" w:sz="4" w:color="D9D9D9"/>
              <w:bottom w:val="single" w:sz="4" w:color="D9D9D9"/>
              <w:right w:val="single" w:sz="4" w:color="D9D9D9"/>
            </w:tcBorders>
            <w:shd w:fill="E6EBF0"/>
            <w:tcMar>
              <w:top w:w="90" w:type="dxa"/>
              <w:left w:w="90" w:type="dxa"/>
              <w:bottom w:w="90" w:type="dxa"/>
              <w:right w:w="90" w:type="dxa"/>
            </w:tcMar>
          </w:tcPr>
          <w:p>
            <w:pPr>
              <w:spacing w:after="60"/>
            </w:pPr>
            <w:r>
              <w:rPr>
                <w:b/>
                <w:sz w:val="20"/>
              </w:rPr>
              <w:t>Timing or qualification</w:t>
            </w:r>
          </w:p>
        </w:tc>
      </w:tr>
      <w:tr>
        <w:trPr/>
        <w:tc>
          <w:tcPr>
            <w:tcW w:type="dxa" w:w="230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Nokia architecture representative</w:t>
            </w:r>
          </w:p>
        </w:tc>
        <w:tc>
          <w:tcPr>
            <w:tcW w:type="dxa" w:w="432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Single standalone 6G architecture</w:t>
            </w:r>
          </w:p>
        </w:tc>
        <w:tc>
          <w:tcPr>
            <w:tcW w:type="dxa" w:w="331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Early deployments could appear in 2029</w:t>
            </w:r>
          </w:p>
        </w:tc>
      </w:tr>
      <w:tr>
        <w:trPr/>
        <w:tc>
          <w:tcPr>
            <w:tcW w:type="dxa" w:w="2304"/>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Operator perspective</w:t>
            </w:r>
          </w:p>
        </w:tc>
        <w:tc>
          <w:tcPr>
            <w:tcW w:type="dxa" w:w="4320"/>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Early deployment expectation; continued coexistence must be considered</w:t>
            </w:r>
          </w:p>
        </w:tc>
        <w:tc>
          <w:tcPr>
            <w:tcW w:type="dxa" w:w="3312"/>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Around 2029 or the early 2030s in Europe; exact independence was not firmly resolved</w:t>
            </w:r>
          </w:p>
        </w:tc>
      </w:tr>
      <w:tr>
        <w:trPr/>
        <w:tc>
          <w:tcPr>
            <w:tcW w:type="dxa" w:w="230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Art King</w:t>
            </w:r>
          </w:p>
        </w:tc>
        <w:tc>
          <w:tcPr>
            <w:tcW w:type="dxa" w:w="432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Standalone 6G incorporating innovations from 5G</w:t>
            </w:r>
          </w:p>
        </w:tc>
        <w:tc>
          <w:tcPr>
            <w:tcW w:type="dxa" w:w="331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Keep architectures and cores distinct with clean interworking and handover</w:t>
            </w:r>
          </w:p>
        </w:tc>
      </w:tr>
      <w:tr>
        <w:trPr/>
        <w:tc>
          <w:tcPr>
            <w:tcW w:type="dxa" w:w="2304"/>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Paul Harris</w:t>
            </w:r>
          </w:p>
        </w:tc>
        <w:tc>
          <w:tcPr>
            <w:tcW w:type="dxa" w:w="4320"/>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Standalone 6G and MRSS as priorities</w:t>
            </w:r>
          </w:p>
        </w:tc>
        <w:tc>
          <w:tcPr>
            <w:tcW w:type="dxa" w:w="3312"/>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Possible aggregation involving NR bands was mentioned; no detailed mechanism</w:t>
            </w:r>
          </w:p>
        </w:tc>
      </w:tr>
    </w:tbl>
    <w:p/>
    <w:p>
      <w:r>
        <w:t>These are forecasts and preferences expressed during the session. No commercial launch commitment was made. Standalone does not imply eliminating 5G coexistence or interworking; the panel explicitly discussed both.</w:t>
      </w:r>
    </w:p>
    <w:p>
      <w:pPr>
        <w:pStyle w:val="Heading1"/>
      </w:pPr>
      <w:r>
        <w:t>13 Outcomes and open questions</w:t>
      </w:r>
    </w:p>
    <w:p>
      <w:pPr>
        <w:pStyle w:val="Heading2"/>
      </w:pPr>
      <w:r>
        <w:t>13 1 Shared directions</w:t>
      </w:r>
    </w:p>
    <w:p>
      <w:pPr>
        <w:pStyle w:val="ListBullet"/>
      </w:pPr>
      <w:r>
        <w:t>Standalone 6G was the dominant architectural preference in the closing exchange.</w:t>
      </w:r>
    </w:p>
    <w:p>
      <w:pPr>
        <w:pStyle w:val="ListBullet"/>
      </w:pPr>
      <w:r>
        <w:t>Useful 5G standalone architecture, investments, sites, and spectrum should be reused where possible.</w:t>
      </w:r>
    </w:p>
    <w:p>
      <w:pPr>
        <w:pStyle w:val="ListBullet"/>
      </w:pPr>
      <w:r>
        <w:t>AI and software flexibility can enable improvements across multiple network domains.</w:t>
      </w:r>
    </w:p>
    <w:p>
      <w:pPr>
        <w:pStyle w:val="ListBullet"/>
      </w:pPr>
      <w:r>
        <w:t>Migration and interworking need to be manageable for operators and test teams.</w:t>
      </w:r>
    </w:p>
    <w:p>
      <w:pPr>
        <w:pStyle w:val="ListBullet"/>
      </w:pPr>
      <w:r>
        <w:t>Commercial justification needs demonstrable services and new value streams.</w:t>
      </w:r>
    </w:p>
    <w:p>
      <w:r>
        <w:t>The session recorded no formal architectural adoption, votes, assigned tasks, owners, deadlines, or approved implementation plan. Panel alignment should not be interpreted as a 3GPP decision.</w:t>
      </w:r>
    </w:p>
    <w:p>
      <w:pPr>
        <w:pStyle w:val="Heading2"/>
      </w:pPr>
      <w:r>
        <w:t>13 2 Questions left unresolved</w:t>
      </w:r>
    </w:p>
    <w:p>
      <w:pPr>
        <w:pStyle w:val="ListBullet"/>
      </w:pPr>
      <w:r>
        <w:t>The final 6G architecture and the degree of departure from the 5G core.</w:t>
      </w:r>
    </w:p>
    <w:p>
      <w:pPr>
        <w:pStyle w:val="ListBullet"/>
      </w:pPr>
      <w:r>
        <w:t>Whether an AI domain and deterministic functional domain will be selected, and how their interaction will be standardized.</w:t>
      </w:r>
    </w:p>
    <w:p>
      <w:pPr>
        <w:pStyle w:val="ListBullet"/>
      </w:pPr>
      <w:r>
        <w:t>The status and precise design of any core-first non-standalone migration option.</w:t>
      </w:r>
    </w:p>
    <w:p>
      <w:pPr>
        <w:pStyle w:val="ListBullet"/>
      </w:pPr>
      <w:r>
        <w:t>Mandatory versus optional AI optimization, Open RAN, and controller capabilities.</w:t>
      </w:r>
    </w:p>
    <w:p>
      <w:pPr>
        <w:pStyle w:val="ListBullet"/>
      </w:pPr>
      <w:r>
        <w:t>Validated MRSS overhead and migration behavior under representative configurations.</w:t>
      </w:r>
    </w:p>
    <w:p>
      <w:pPr>
        <w:pStyle w:val="ListBullet"/>
      </w:pPr>
      <w:r>
        <w:t>TN and NTN coexistence, native mobility, and integration procedures.</w:t>
      </w:r>
    </w:p>
    <w:p>
      <w:pPr>
        <w:pStyle w:val="ListBullet"/>
      </w:pPr>
      <w:r>
        <w:t>Uplink and downlink disaggregation and scheduler evolution.</w:t>
      </w:r>
    </w:p>
    <w:p>
      <w:pPr>
        <w:pStyle w:val="ListBullet"/>
      </w:pPr>
      <w:r>
        <w:t>Test coverage and acceptance criteria for autonomous and self-healing behavior.</w:t>
      </w:r>
    </w:p>
    <w:p>
      <w:pPr>
        <w:pStyle w:val="ListBullet"/>
      </w:pPr>
      <w:r>
        <w:t>The revenue potential and practical delivery model for subscriber-facing AI services.</w:t>
      </w:r>
    </w:p>
    <w:p>
      <w:pPr>
        <w:pStyle w:val="Heading1"/>
      </w:pPr>
      <w:r>
        <w:t>14 Suggested follow ups</w:t>
      </w:r>
    </w:p>
    <w:p>
      <w:r>
        <w:t>The following items are derived from the discussion for later review. They were not assigned during the panel, and no owner or deadline should be inferred.</w:t>
      </w:r>
    </w:p>
    <w:tbl>
      <w:tblPr>
        <w:tblW w:type="auto" w:w="0"/>
        <w:tblLayout w:type="fixed"/>
        <w:tblLook w:firstColumn="1" w:firstRow="1" w:lastColumn="0" w:lastRow="0" w:noHBand="0" w:noVBand="1" w:val="04A0"/>
      </w:tblPr>
      <w:tblGrid>
        <w:gridCol w:w="3888"/>
        <w:gridCol w:w="6048"/>
      </w:tblGrid>
      <w:tr>
        <w:trPr>
          <w:tblHeader/>
        </w:trPr>
        <w:tc>
          <w:tcPr>
            <w:tcW w:type="dxa" w:w="4968"/>
            <w:tcBorders>
              <w:top w:val="single" w:sz="4" w:color="D9D9D9"/>
              <w:left w:val="single" w:sz="4" w:color="D9D9D9"/>
              <w:bottom w:val="single" w:sz="4" w:color="D9D9D9"/>
              <w:right w:val="single" w:sz="4" w:color="D9D9D9"/>
            </w:tcBorders>
            <w:shd w:fill="E6EBF0"/>
            <w:tcMar>
              <w:top w:w="90" w:type="dxa"/>
              <w:left w:w="90" w:type="dxa"/>
              <w:bottom w:w="90" w:type="dxa"/>
              <w:right w:w="90" w:type="dxa"/>
            </w:tcMar>
          </w:tcPr>
          <w:p>
            <w:pPr>
              <w:spacing w:after="60"/>
            </w:pPr>
            <w:r>
              <w:rPr>
                <w:b/>
                <w:sz w:val="20"/>
              </w:rPr>
              <w:t>Suggested item</w:t>
            </w:r>
          </w:p>
        </w:tc>
        <w:tc>
          <w:tcPr>
            <w:tcW w:type="dxa" w:w="4968"/>
            <w:tcBorders>
              <w:top w:val="single" w:sz="4" w:color="D9D9D9"/>
              <w:left w:val="single" w:sz="4" w:color="D9D9D9"/>
              <w:bottom w:val="single" w:sz="4" w:color="D9D9D9"/>
              <w:right w:val="single" w:sz="4" w:color="D9D9D9"/>
            </w:tcBorders>
            <w:shd w:fill="E6EBF0"/>
            <w:tcMar>
              <w:top w:w="90" w:type="dxa"/>
              <w:left w:w="90" w:type="dxa"/>
              <w:bottom w:w="90" w:type="dxa"/>
              <w:right w:w="90" w:type="dxa"/>
            </w:tcMar>
          </w:tcPr>
          <w:p>
            <w:pPr>
              <w:spacing w:after="60"/>
            </w:pPr>
            <w:r>
              <w:rPr>
                <w:b/>
                <w:sz w:val="20"/>
              </w:rPr>
              <w:t>Purpose</w:t>
            </w:r>
          </w:p>
        </w:tc>
      </w:tr>
      <w:tr>
        <w:trPr/>
        <w:tc>
          <w:tcPr>
            <w:tcW w:type="dxa" w:w="388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Confirm session metadata and participant names</w:t>
            </w:r>
          </w:p>
        </w:tc>
        <w:tc>
          <w:tcPr>
            <w:tcW w:type="dxa" w:w="604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Resolve unclear names, affiliations, date, and source attribution</w:t>
            </w:r>
          </w:p>
        </w:tc>
      </w:tr>
      <w:tr>
        <w:trPr/>
        <w:tc>
          <w:tcPr>
            <w:tcW w:type="dxa" w:w="3888"/>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Confirm standards claims and release references</w:t>
            </w:r>
          </w:p>
        </w:tc>
        <w:tc>
          <w:tcPr>
            <w:tcW w:type="dxa" w:w="6048"/>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Check MRSS status, Release 20 and 21 references, and standalone deployment assumptions</w:t>
            </w:r>
          </w:p>
        </w:tc>
      </w:tr>
      <w:tr>
        <w:trPr/>
        <w:tc>
          <w:tcPr>
            <w:tcW w:type="dxa" w:w="388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Assess migration options against existing assets</w:t>
            </w:r>
          </w:p>
        </w:tc>
        <w:tc>
          <w:tcPr>
            <w:tcW w:type="dxa" w:w="604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Compare spectrum reuse, site reuse, architecture complexity, and interworking needs</w:t>
            </w:r>
          </w:p>
        </w:tc>
      </w:tr>
      <w:tr>
        <w:trPr/>
        <w:tc>
          <w:tcPr>
            <w:tcW w:type="dxa" w:w="3888"/>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Evaluate the proposed AI and functional domain split</w:t>
            </w:r>
          </w:p>
        </w:tc>
        <w:tc>
          <w:tcPr>
            <w:tcW w:type="dxa" w:w="6048"/>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Assess intent processing, deterministic control, and operator oversight</w:t>
            </w:r>
          </w:p>
        </w:tc>
      </w:tr>
      <w:tr>
        <w:trPr/>
        <w:tc>
          <w:tcPr>
            <w:tcW w:type="dxa" w:w="388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Define testing for autonomous behavior and ISAC</w:t>
            </w:r>
          </w:p>
        </w:tc>
        <w:tc>
          <w:tcPr>
            <w:tcW w:type="dxa" w:w="604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Move beyond conformance to representative scenarios and measurable acceptance criteria</w:t>
            </w:r>
          </w:p>
        </w:tc>
      </w:tr>
      <w:tr>
        <w:trPr/>
        <w:tc>
          <w:tcPr>
            <w:tcW w:type="dxa" w:w="3888"/>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Develop TN and NTN integration scenarios</w:t>
            </w:r>
          </w:p>
        </w:tc>
        <w:tc>
          <w:tcPr>
            <w:tcW w:type="dxa" w:w="6048"/>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Evaluate device coexistence, delays, mobility, and core interactions</w:t>
            </w:r>
          </w:p>
        </w:tc>
      </w:tr>
      <w:tr>
        <w:trPr/>
        <w:tc>
          <w:tcPr>
            <w:tcW w:type="dxa" w:w="388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Build a commercial case for AI services</w:t>
            </w:r>
          </w:p>
        </w:tc>
        <w:tc>
          <w:tcPr>
            <w:tcW w:type="dxa" w:w="604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Identify customer value, revenue potential, implementation cost, and operating requirements</w:t>
            </w:r>
          </w:p>
        </w:tc>
      </w:tr>
    </w:tbl>
    <w:p/>
    <w:p>
      <w:pPr>
        <w:pStyle w:val="Heading1"/>
      </w:pPr>
      <w:r>
        <w:t>15 Abbreviations</w:t>
      </w:r>
    </w:p>
    <w:p>
      <w:r>
        <w:t>AI — Artificial intelligence; 3GPP — 3rd Generation Partnership Project; SBA — Service Based Architecture; SA — Standalone; NSA — Non Standalone; NR — New Radio; RAN — Radio Access Network; UE — User Equipment; UPF — User Plane Function; DU — Distributed Unit; ISAC — Integrated Sensing and Communications; TN — Terrestrial Network; NTN — Non Terrestrial Network; MRSS — Multi RAT Spectrum Sharing; RAT — Radio Access Technology; DSS — Dynamic Spectrum Sharing; PRB — Physical Resource Block; DSP — Digital Signal Processor; GPU — Graphics Processing Unit; SLA — Service Level Agreement; ROI — Return on Investment; CAPEX — Capital Expenditure; SNS JU — Smart Networks and Services Joint Undertaking.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6G Network Architecture Detailed Minutes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