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6G Spectrum and Test Strategy</w:t>
      </w:r>
    </w:p>
    <w:p>
      <w:r>
        <w:t>Detailed panel discussion minutes</w:t>
      </w:r>
    </w:p>
    <w:p>
      <w:r>
        <w:t>The panel examined how spectrum policy, radio design, migration mechanisms, and testing must align to make 6G commercially useful. A recurring theme was that access to spectrum alone does not create a deployable service: component readiness, practical coexistence rules, compatible devices, and a viable business case must develop together.</w:t>
      </w:r>
    </w:p>
    <w:p>
      <w:r>
        <w:t>Meeting date and venue: Not stated in the supplied transcript. Moderator: Sean, surname not provided. Format: Industry panel discussion. These minutes summarize the supplied transcript rather than independently verifying policy or standards claims.</w:t>
      </w:r>
    </w:p>
    <w:p>
      <w:pPr>
        <w:pStyle w:val="Heading1"/>
      </w:pPr>
      <w:r>
        <w:t>Participants</w:t>
      </w:r>
    </w:p>
    <w:tbl>
      <w:tblPr>
        <w:tblW w:type="auto" w:w="0"/>
        <w:tblLayout w:type="fixed"/>
        <w:tblLook w:firstColumn="1" w:firstRow="1" w:lastColumn="0" w:lastRow="0" w:noHBand="0" w:noVBand="1" w:val="04A0"/>
      </w:tblPr>
      <w:tblGrid>
        <w:gridCol w:w="2880"/>
        <w:gridCol w:w="7056"/>
      </w:tblGrid>
      <w:tr>
        <w:trPr>
          <w:tblHeader/>
          <w:cantSplit/>
        </w:trPr>
        <w:tc>
          <w:tcPr>
            <w:tcW w:type="dxa" w:w="4968"/>
            <w:vAlign w:val="center"/>
            <w:tcBorders>
              <w:top w:val="single" w:sz="4" w:color="D9D9D9"/>
              <w:left w:val="single" w:sz="4" w:color="D9D9D9"/>
              <w:bottom w:val="single" w:sz="4" w:color="D9D9D9"/>
              <w:right w:val="single" w:sz="4" w:color="D9D9D9"/>
            </w:tcBorders>
            <w:shd w:fill="E7EDF3"/>
          </w:tcPr>
          <w:p>
            <w:pPr>
              <w:spacing w:after="100" w:before="100"/>
            </w:pPr>
            <w:r>
              <w:rPr>
                <w:b/>
                <w:sz w:val="20"/>
              </w:rPr>
              <w:t>Participant as transcribed</w:t>
            </w:r>
          </w:p>
        </w:tc>
        <w:tc>
          <w:tcPr>
            <w:tcW w:type="dxa" w:w="4968"/>
            <w:vAlign w:val="center"/>
            <w:tcBorders>
              <w:top w:val="single" w:sz="4" w:color="D9D9D9"/>
              <w:left w:val="single" w:sz="4" w:color="D9D9D9"/>
              <w:bottom w:val="single" w:sz="4" w:color="D9D9D9"/>
              <w:right w:val="single" w:sz="4" w:color="D9D9D9"/>
            </w:tcBorders>
            <w:shd w:fill="E7EDF3"/>
          </w:tcPr>
          <w:p>
            <w:pPr>
              <w:spacing w:after="100" w:before="100"/>
            </w:pPr>
            <w:r>
              <w:rPr>
                <w:b/>
                <w:sz w:val="20"/>
              </w:rPr>
              <w:t>Organization and role</w:t>
            </w:r>
          </w:p>
        </w:tc>
      </w:tr>
      <w:tr>
        <w:trPr>
          <w:cantSplit/>
        </w:trPr>
        <w:tc>
          <w:tcPr>
            <w:tcW w:type="dxa" w:w="288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Martha Suarez</w:t>
            </w:r>
          </w:p>
        </w:tc>
        <w:tc>
          <w:tcPr>
            <w:tcW w:type="dxa" w:w="705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Dynamic Spectrum Alliance, President</w:t>
            </w:r>
          </w:p>
        </w:tc>
      </w:tr>
      <w:tr>
        <w:trPr>
          <w:cantSplit/>
        </w:trPr>
        <w:tc>
          <w:tcPr>
            <w:tcW w:type="dxa" w:w="288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Khushbu Kalyani</w:t>
            </w:r>
          </w:p>
        </w:tc>
        <w:tc>
          <w:tcPr>
            <w:tcW w:type="dxa" w:w="705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Lightpoint, Product Marketing Manager</w:t>
            </w:r>
          </w:p>
        </w:tc>
      </w:tr>
      <w:tr>
        <w:trPr>
          <w:cantSplit/>
        </w:trPr>
        <w:tc>
          <w:tcPr>
            <w:tcW w:type="dxa" w:w="288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Milat Majumdar</w:t>
            </w:r>
          </w:p>
        </w:tc>
        <w:tc>
          <w:tcPr>
            <w:tcW w:type="dxa" w:w="705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AT&amp;T, AVP for Emerging Network Spectrum Technologies and Standards</w:t>
            </w:r>
          </w:p>
        </w:tc>
      </w:tr>
      <w:tr>
        <w:trPr>
          <w:cantSplit/>
        </w:trPr>
        <w:tc>
          <w:tcPr>
            <w:tcW w:type="dxa" w:w="288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Derrick Clopin</w:t>
            </w:r>
          </w:p>
        </w:tc>
        <w:tc>
          <w:tcPr>
            <w:tcW w:type="dxa" w:w="705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NTIA, Deputy Associate Administrator; described his responsibilities as Spectrum Planning and Policy</w:t>
            </w:r>
          </w:p>
        </w:tc>
      </w:tr>
      <w:tr>
        <w:trPr>
          <w:cantSplit/>
        </w:trPr>
        <w:tc>
          <w:tcPr>
            <w:tcW w:type="dxa" w:w="288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Sean</w:t>
            </w:r>
          </w:p>
        </w:tc>
        <w:tc>
          <w:tcPr>
            <w:tcW w:type="dxa" w:w="705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Moderator; organization and surname not stated</w:t>
            </w:r>
          </w:p>
        </w:tc>
      </w:tr>
    </w:tbl>
    <w:p>
      <w:r>
        <w:t>Participant names and the test vendor name are retained as transcribed and may contain speech recognition errors. Obvious technical transcription errors have been normalized where the meaning is clear. The transcript ends during the final response.</w:t>
      </w:r>
    </w:p>
    <w:p>
      <w:pPr>
        <w:pStyle w:val="Heading1"/>
      </w:pPr>
      <w:r>
        <w:t>Key discussion outcomes</w:t>
      </w:r>
    </w:p>
    <w:p>
      <w:pPr>
        <w:pStyle w:val="ListBullet"/>
      </w:pPr>
      <w:r>
        <w:t>6G planning should combine new spectrum with efficient use of existing bands, including 5G and 6G multi RAT spectrum sharing and selective radio upgrades.</w:t>
      </w:r>
    </w:p>
    <w:p>
      <w:pPr>
        <w:pStyle w:val="ListBullet"/>
      </w:pPr>
      <w:r>
        <w:t>Federal incumbent relocation and spectrum sharing are both relevant. The eventual access model depends on band studies, transition plans, and incumbent protection requirements.</w:t>
      </w:r>
    </w:p>
    <w:p>
      <w:pPr>
        <w:pStyle w:val="ListBullet"/>
      </w:pPr>
      <w:r>
        <w:t>International IMT identification provides a framework for national decisions; it does not itself guarantee deployment or exclusive cellular use in every country.</w:t>
      </w:r>
    </w:p>
    <w:p>
      <w:pPr>
        <w:pStyle w:val="ListBullet"/>
      </w:pPr>
      <w:r>
        <w:t>RF validation will become more complex as bands, modulation, uplink and downlink configurations, sharing modes, antennas, and MIMO combinations expand.</w:t>
      </w:r>
    </w:p>
    <w:p>
      <w:pPr>
        <w:pStyle w:val="ListBullet"/>
      </w:pPr>
      <w:r>
        <w:t>Reliability, coverage, security, latency, and economic value should complement peak throughput when evaluating 6G success.</w:t>
      </w:r>
    </w:p>
    <w:p>
      <w:pPr>
        <w:pStyle w:val="Heading1"/>
      </w:pPr>
      <w:r>
        <w:t>US spectrum pipeline and federal coordination</w:t>
      </w:r>
    </w:p>
    <w:p>
      <w:pPr>
        <w:pStyle w:val="Heading2"/>
      </w:pPr>
      <w:r>
        <w:t>NTIA responsibilities and policy objectives</w:t>
      </w:r>
    </w:p>
    <w:p>
      <w:r>
        <w:t>Derrick explained that NTIA manages federal spectrum use, including defense, space exploration, weather forecasting, and air traffic control radar. The FCC manages non federal use. NTIA also advises the President and administration on information and communications policy and participates in international spectrum discussions through the ITU. He stated that opinions expressed were his own and did not necessarily represent NTIA or the administration.</w:t>
      </w:r>
    </w:p>
    <w:p>
      <w:r>
        <w:t>He described a priority to identify at least 500 MHz for commercial auction before 2030, supporting both 5G and 6G. He linked this to a broader legislative pipeline totaling 800 MHz by 2034, with 500 MHz associated with federal spectrum work and 300 MHz to be identified by the FCC. These figures and timelines were reported by the speaker; the transcript did not provide the legislative text or an implementation schedule.</w:t>
      </w:r>
    </w:p>
    <w:p>
      <w:pPr>
        <w:pStyle w:val="Heading2"/>
      </w:pPr>
      <w:r>
        <w:t>Bands under study</w:t>
      </w:r>
    </w:p>
    <w:p>
      <w:r>
        <w:t>Derrick described four simultaneous federal band studies across a broader 1.3 to 10.5 GHz range. He characterized the scale of concurrent work as unprecedented and noted additional appropriations and Spectrum Relocation Fund support for agency studies and transition work.</w:t>
      </w:r>
    </w:p>
    <w:tbl>
      <w:tblPr>
        <w:tblW w:type="auto" w:w="0"/>
        <w:tblLayout w:type="fixed"/>
        <w:tblLook w:firstColumn="1" w:firstRow="1" w:lastColumn="0" w:lastRow="0" w:noHBand="0" w:noVBand="1" w:val="04A0"/>
      </w:tblPr>
      <w:tblGrid>
        <w:gridCol w:w="1512"/>
        <w:gridCol w:w="2232"/>
        <w:gridCol w:w="6192"/>
      </w:tblGrid>
      <w:tr>
        <w:trPr>
          <w:tblHeader/>
          <w:cantSplit/>
        </w:trPr>
        <w:tc>
          <w:tcPr>
            <w:tcW w:type="dxa" w:w="3312"/>
            <w:vAlign w:val="center"/>
            <w:tcBorders>
              <w:top w:val="single" w:sz="4" w:color="D9D9D9"/>
              <w:left w:val="single" w:sz="4" w:color="D9D9D9"/>
              <w:bottom w:val="single" w:sz="4" w:color="D9D9D9"/>
              <w:right w:val="single" w:sz="4" w:color="D9D9D9"/>
            </w:tcBorders>
            <w:shd w:fill="E7EDF3"/>
          </w:tcPr>
          <w:p>
            <w:pPr>
              <w:spacing w:after="100" w:before="100"/>
            </w:pPr>
            <w:r>
              <w:rPr>
                <w:b/>
                <w:sz w:val="20"/>
              </w:rPr>
              <w:t>Band discussed</w:t>
            </w:r>
          </w:p>
        </w:tc>
        <w:tc>
          <w:tcPr>
            <w:tcW w:type="dxa" w:w="3312"/>
            <w:vAlign w:val="center"/>
            <w:tcBorders>
              <w:top w:val="single" w:sz="4" w:color="D9D9D9"/>
              <w:left w:val="single" w:sz="4" w:color="D9D9D9"/>
              <w:bottom w:val="single" w:sz="4" w:color="D9D9D9"/>
              <w:right w:val="single" w:sz="4" w:color="D9D9D9"/>
            </w:tcBorders>
            <w:shd w:fill="E7EDF3"/>
          </w:tcPr>
          <w:p>
            <w:pPr>
              <w:spacing w:after="100" w:before="100"/>
            </w:pPr>
            <w:r>
              <w:rPr>
                <w:b/>
                <w:sz w:val="20"/>
              </w:rPr>
              <w:t>Frequency range stated</w:t>
            </w:r>
          </w:p>
        </w:tc>
        <w:tc>
          <w:tcPr>
            <w:tcW w:type="dxa" w:w="3312"/>
            <w:vAlign w:val="center"/>
            <w:tcBorders>
              <w:top w:val="single" w:sz="4" w:color="D9D9D9"/>
              <w:left w:val="single" w:sz="4" w:color="D9D9D9"/>
              <w:bottom w:val="single" w:sz="4" w:color="D9D9D9"/>
              <w:right w:val="single" w:sz="4" w:color="D9D9D9"/>
            </w:tcBorders>
            <w:shd w:fill="E7EDF3"/>
          </w:tcPr>
          <w:p>
            <w:pPr>
              <w:spacing w:after="100" w:before="100"/>
            </w:pPr>
            <w:r>
              <w:rPr>
                <w:b/>
                <w:sz w:val="20"/>
              </w:rPr>
              <w:t>Discussion status</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Lower 7 GHz</w:t>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7125 to 7400 MHz</w:t>
            </w:r>
          </w:p>
        </w:tc>
        <w:tc>
          <w:tcPr>
            <w:tcW w:type="dxa" w:w="619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Study report expected by “this December”; calendar year not confirmed by the meeting metadata.</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1.6 GHz</w:t>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1675 to 1705 MHz</w:t>
            </w:r>
          </w:p>
        </w:tc>
        <w:tc>
          <w:tcPr>
            <w:tcW w:type="dxa" w:w="619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Described as advanced, with completion anticipated shortly after the lower 7 GHz work.</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2.7 GHz</w:t>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2690 to 2900 MHz</w:t>
            </w:r>
          </w:p>
        </w:tc>
        <w:tc>
          <w:tcPr>
            <w:tcW w:type="dxa" w:w="619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One of the four concurrent studies; no completion date provided.</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4.4 GHz</w:t>
            </w:r>
          </w:p>
        </w:tc>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4400 to 4940 MHz</w:t>
            </w:r>
          </w:p>
        </w:tc>
        <w:tc>
          <w:tcPr>
            <w:tcW w:type="dxa" w:w="619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One of the four concurrent studies; transcript wording of the upper endpoint is garbled and should be confirmed.</w:t>
            </w:r>
          </w:p>
        </w:tc>
      </w:tr>
    </w:tbl>
    <w:p>
      <w:r>
        <w:t>The speaker said the lower 7 GHz and 1.6 GHz work together would account for nearly 300 MHz. He also referred to a December 2025 presidential memorandum on winning the race to 6G that accelerated the 7 GHz study schedule. The meeting date is absent, so relative timing has been preserved rather than converted into a confirmed deadline.</w:t>
      </w:r>
    </w:p>
    <w:p>
      <w:pPr>
        <w:pStyle w:val="Heading2"/>
      </w:pPr>
      <w:r>
        <w:t>Upper C band and incumbent transition plans</w:t>
      </w:r>
    </w:p>
    <w:p>
      <w:r>
        <w:t>Derrick said the FCC was working toward an additional 160 MHz in the upper C band. He described a potential contiguous 440 MHz span from 3.7 to 4.14 GHz and a broader mid band landscape when CBRS and the 3.45 GHz band are also considered. These were presented as spectrum planning opportunities, not completed allocations or auction outcomes.</w:t>
      </w:r>
    </w:p>
    <w:p>
      <w:r>
        <w:t>After the studies, incumbent transition plans would address whether systems move out of a band or are reconfigured, estimate transition costs, and obtain the required approvals. A band may therefore be identified before its practical availability, geography, or sharing constraints are fully resolved.</w:t>
      </w:r>
    </w:p>
    <w:p>
      <w:pPr>
        <w:pStyle w:val="Heading2"/>
      </w:pPr>
      <w:r>
        <w:t>International alignment</w:t>
      </w:r>
    </w:p>
    <w:p>
      <w:r>
        <w:t>Derrick connected the US studies to WRC 27 agenda item 1.7, including consideration of 7 GHz and 4.4 GHz spectrum. He argued that US progress in the 3, 4, and 7 GHz ranges could encourage other countries to follow and support harmonization. He also supported retaining the benefits of the 6 GHz Wi Fi ecosystem alongside additional cellular mid band spectrum.</w:t>
      </w:r>
    </w:p>
    <w:p>
      <w:pPr>
        <w:pStyle w:val="Heading1"/>
      </w:pPr>
      <w:r>
        <w:t>From spectrum identification to operational value</w:t>
      </w:r>
    </w:p>
    <w:p>
      <w:pPr>
        <w:pStyle w:val="Heading2"/>
      </w:pPr>
      <w:r>
        <w:t>International identification and national implementation</w:t>
      </w:r>
    </w:p>
    <w:p>
      <w:r>
        <w:t>Martha distinguished identification for International Mobile Telecommunications, or IMT, from actual national use. An international designation is an enabling step; administrations still decide how bands are used domestically. She referenced candidate ranges including 4.4 to 4.8 GHz, 7125 to 7250 MHz, 7750 to 8400 MHz, and 14.8 to 15.35 GHz. The first range is unclear in the transcript and requires confirmation against the underlying presentation or source material.</w:t>
      </w:r>
    </w:p>
    <w:p>
      <w:r>
        <w:t>She advocated a 6G ecosystem that incorporates cellular, Wi Fi, satellite, other non terrestrial connectivity, and strong fiber penetration. In her view, the policy objective should be an appropriate balance among technologies rather than assuming that every 6G use case depends on one access technology.</w:t>
      </w:r>
    </w:p>
    <w:p>
      <w:r>
        <w:t>Martha supported the US approach of opening the full 6 GHz band for unlicensed access and encouraged other administrations to consider its benefits. She described Europe as following a different path, with interest in using part of the upper 6 GHz band for future mobile networks, and advocated sharing models where appropriate.</w:t>
      </w:r>
    </w:p>
    <w:p>
      <w:pPr>
        <w:pStyle w:val="Heading2"/>
      </w:pPr>
      <w:r>
        <w:t>Component and test ecosystem readiness</w:t>
      </w:r>
    </w:p>
    <w:p>
      <w:r>
        <w:t>Khushbu explained that new spectrum must be supported by components, feasible radio design, devices, and suitable test equipment. She cited the 47 GHz band as an example of spectrum becoming available without comparable commercial adoption, despite industry efforts to support a wider millimeter wave frequency range. Her example illustrated that spectrum acquisition and device ecosystem maturity do not necessarily advance at the same pace.</w:t>
      </w:r>
    </w:p>
    <w:p>
      <w:r>
        <w:t>The test vendor contribution is to provide equipment capable of validating the resulting radios and devices. Practical commercialization therefore depends on simultaneous progress in spectrum policy, RF component availability, radio complexity, device support, and test capability.</w:t>
      </w:r>
    </w:p>
    <w:p>
      <w:pPr>
        <w:pStyle w:val="Heading1"/>
      </w:pPr>
      <w:r>
        <w:t>5G to 6G migration and multi RAT spectrum sharing</w:t>
      </w:r>
    </w:p>
    <w:p>
      <w:pPr>
        <w:pStyle w:val="Heading2"/>
      </w:pPr>
      <w:r>
        <w:t>Lessons from 4G and 5G dynamic spectrum sharing</w:t>
      </w:r>
    </w:p>
    <w:p>
      <w:r>
        <w:t>The AT&amp;T representative explained two limitations of 4G and 5G dynamic spectrum sharing, or DSS: overhead associated with control channels and the need for 5G transmissions to coexist with fixed LTE reference signals. The latter requires measures such as rate matching around LTE common reference signals, reducing flexibility and introducing performance compromises.</w:t>
      </w:r>
    </w:p>
    <w:p>
      <w:pPr>
        <w:pStyle w:val="Heading2"/>
      </w:pPr>
      <w:r>
        <w:t>Expected improvements for 5G and 6G sharing</w:t>
      </w:r>
    </w:p>
    <w:p>
      <w:r>
        <w:t>He expressed optimism that 5G and 6G multi RAT spectrum sharing, or MRSS, could be more efficient. He reported that a recent 3GPP discussion had agreed to limit overhead for shared downlink control channel resources to less than 3.5 percent. This is recorded as the speaker’s description of the standards discussion, not as a verified final specification or a guarantee of total system overhead.</w:t>
      </w:r>
    </w:p>
    <w:p>
      <w:r>
        <w:t>He also noted that NR does not carry the same fixed, always present reference signal constraint as LTE. This additional flexibility could make coexistence with a new 6G air interface easier. The stated expectation was improved migration efficiency, while actual implementation would depend on the eventual specifications and radio capabilities.</w:t>
      </w:r>
    </w:p>
    <w:p>
      <w:pPr>
        <w:pStyle w:val="Heading2"/>
      </w:pPr>
      <w:r>
        <w:t>Software upgrades of existing 5G radios</w:t>
      </w:r>
    </w:p>
    <w:p>
      <w:r>
        <w:t>The AT&amp;T representative said 3GPP study discussions were considering whether capable 5G radios could support a 6G air interface through software upgrades. He cited discussions of CP OFDM, DFT spread OFDM, and channel coding as indications that a baseline migration path may be feasible. He emphasized that the installed hardware must have sufficient compute capability and support the required air interface functions.</w:t>
      </w:r>
    </w:p>
    <w:p>
      <w:r>
        <w:t>The purpose is to preserve operator choice. An operator could reuse existing spectrum and capable hardware where the business case supports it, while upgrading hardware where advanced 6G functions require new capabilities. The panel did not identify a guaranteed upgrade path for all installed radios, specific supported products, or an agreed commercialization date.</w:t>
      </w:r>
    </w:p>
    <w:p>
      <w:pPr>
        <w:pStyle w:val="Heading1"/>
      </w:pPr>
      <w:r>
        <w:t>Spectrum sharing and coexistence policy</w:t>
      </w:r>
    </w:p>
    <w:p>
      <w:pPr>
        <w:pStyle w:val="Heading2"/>
      </w:pPr>
      <w:r>
        <w:t>Clearing and sharing with federal incumbents</w:t>
      </w:r>
    </w:p>
    <w:p>
      <w:r>
        <w:t>Derrick said the legislative framework emphasized relocating federal systems where possible to make spectrum as clear as practicable. However, some federal assets could remain for substantial periods, creating a need for ongoing sharing. Possible approaches include static exclusion zones, dynamic arrangements, or longer term coexistence, depending on the band and incumbent transition plan.</w:t>
      </w:r>
    </w:p>
    <w:p>
      <w:r>
        <w:t>He cited CBRS as an existing model with lessons for future bands. He expected sharing needs to grow as both mobile and other commercial spectrum demands increase. The regulatory objective is to make spectrum available under workable conditions while operators determine how best to deploy services within those conditions.</w:t>
      </w:r>
    </w:p>
    <w:p>
      <w:pPr>
        <w:pStyle w:val="Heading2"/>
      </w:pPr>
      <w:r>
        <w:t>AI and better use of spectrum data</w:t>
      </w:r>
    </w:p>
    <w:p>
      <w:r>
        <w:t>Derrick discussed the potential of AI assisted scheduling, improved algorithms, and better modeling to make sharing more efficient. Better information could help refine conservative protection zones and improve decisions about where and when spectrum is available. He also linked IT modernization and better use of spectrum data to the regulatory process. No specific AI system, deployment commitment, or measured benefit was reported.</w:t>
      </w:r>
    </w:p>
    <w:p>
      <w:pPr>
        <w:pStyle w:val="Heading2"/>
      </w:pPr>
      <w:r>
        <w:t>Sharing across technologies and applications</w:t>
      </w:r>
    </w:p>
    <w:p>
      <w:r>
        <w:t>Martha said sharing should be considered as part of the 6G concept because exclusive bands are becoming harder to find and multiple technologies seek large bandwidths. She distinguished intra operator sharing between generations from sharing among different technologies or applications. Localized use cases and selective upgrades could create opportunities for more geographically and temporally targeted access.</w:t>
      </w:r>
    </w:p>
    <w:p>
      <w:r>
        <w:t>She described a proposed UK upper 6 GHz approach under which operators would have access when needed and Wi Fi could use the band where or when mobile operators were not using it. She regarded this as a progressive proposal while recognizing that predictable access and priority rules matter for investment. The discussion did not establish that the proposal was already implemented.</w:t>
      </w:r>
    </w:p>
    <w:p>
      <w:pPr>
        <w:pStyle w:val="Heading2"/>
      </w:pPr>
      <w:r>
        <w:t>WRC policy flexibility</w:t>
      </w:r>
    </w:p>
    <w:p>
      <w:r>
        <w:t>Martha referred to the previous WRC’s upper 6 GHz IMT identification in Region 1 and a footnote acknowledging existing uses and wireless local area networks. She hoped WRC 27 would preserve administrations’ flexibility to support other applications and sharing even where IMT identification is agreed. CBRS and automated frequency coordination, or AFC, were cited as examples of accumulated practical sharing experience.</w:t>
      </w:r>
    </w:p>
    <w:p>
      <w:pPr>
        <w:pStyle w:val="Heading1"/>
      </w:pPr>
      <w:r>
        <w:t>RF validation and test strategy</w:t>
      </w:r>
    </w:p>
    <w:p>
      <w:pPr>
        <w:pStyle w:val="Heading2"/>
      </w:pPr>
      <w:r>
        <w:t>Defining predictable interference conditions</w:t>
      </w:r>
    </w:p>
    <w:p>
      <w:r>
        <w:t>Khushbu said that shared spectrum becomes testable when specifications and regulatory requirements define representative worst case interfering signals. Relevant RF parameters include signal power, leakage profile, waveform, and frequency offset. Device manufacturers and test vendors can use these conditions to characterize performance in coexistence environments.</w:t>
      </w:r>
    </w:p>
    <w:p>
      <w:r>
        <w:t>Testing every real world interference situation is impractical. The proposed approach was to select a subset of cases that captures the relevant operating range and difficult interference conditions. The discussion focused on physical layer behavior; it did not establish end to end service level guarantees for shared spectrum.</w:t>
      </w:r>
    </w:p>
    <w:p>
      <w:pPr>
        <w:pStyle w:val="Heading2"/>
      </w:pPr>
      <w:r>
        <w:t>Growth of the test matrix</w:t>
      </w:r>
    </w:p>
    <w:p>
      <w:r>
        <w:t>Khushbu expected the 6G test matrix to grow through combinations of features rather than simply adding one set of tests for each new band. She cited higher order modulation, including discussion of 4096 QAM for downlink and potentially 1024 QAM or lower for uplink, supplemental uplink, downlink and uplink decoupling, 5G and 6G sharing, and partial spectrum refarming. These were discussed as emerging study directions rather than final mandatory capabilities.</w:t>
      </w:r>
    </w:p>
    <w:p>
      <w:r>
        <w:t>Multiple operating modes create combinations of bands, bandwidths, modulation, access configurations, and sharing behavior. Device vendors would need to prioritize realistic geographic band support and representative scenarios that reveal performance across the intended operating range. She anticipated added development time but gave no quantitative estimate.</w:t>
      </w:r>
    </w:p>
    <w:p>
      <w:pPr>
        <w:pStyle w:val="Heading2"/>
      </w:pPr>
      <w:r>
        <w:t>Manufacturing and antenna testing</w:t>
      </w:r>
    </w:p>
    <w:p>
      <w:r>
        <w:t>At production scale, Khushbu identified test time as a major driver of test cost. More antennas and RF chains, together with larger MIMO configurations, could increase the amount of testing required. Whether chains are tested individually or simultaneously and which cases require over the air testing would affect throughput and manufacturing cost.</w:t>
      </w:r>
    </w:p>
    <w:p>
      <w:r>
        <w:t>Her recommendation was to simplify and target test intent intelligently while preserving meaningful characterization. No fixed production test suite, sampling policy, or cost target was agreed.</w:t>
      </w:r>
    </w:p>
    <w:p>
      <w:pPr>
        <w:pStyle w:val="Heading2"/>
      </w:pPr>
      <w:r>
        <w:t>AT&amp;T operator validation approach</w:t>
      </w:r>
    </w:p>
    <w:p>
      <w:r>
        <w:t>The AT&amp;T representative said the first step is to establish appropriate specifications and regulations so that each band can deliver spectral efficiency and practical deployability. Once that foundation is in place, conventional conformance testing remains central: devices and bands must pass the applicable battery of tests before deployment. He emphasized setting the band up for success early rather than relying on testing to compensate for unsuitable regulatory or technical conditions.</w:t>
      </w:r>
    </w:p>
    <w:p>
      <w:pPr>
        <w:pStyle w:val="Heading1"/>
      </w:pPr>
      <w:r>
        <w:t>Commercial objectives and measures of success</w:t>
      </w:r>
    </w:p>
    <w:p>
      <w:pPr>
        <w:pStyle w:val="Heading2"/>
      </w:pPr>
      <w:r>
        <w:t>Security latency and user experience</w:t>
      </w:r>
    </w:p>
    <w:p>
      <w:r>
        <w:t>Derrick highlighted integrated sensing and communication, or ISAC, and AI native architecture as possible sources of new or enhanced user experiences. He cautioned against assuming a single killer application, referring to 5G use case expectations that did not always materialize. He also discussed native security capabilities as relevant to government, defense, public safety, and safety of life services, with potential benefits extending to everyday users.</w:t>
      </w:r>
    </w:p>
    <w:p>
      <w:r>
        <w:t>He noted that latency may matter more than download speed for some applications because current throughput is already sufficient for many uses. The broader question is which 6G capabilities create useful improvements and sustainable value.</w:t>
      </w:r>
    </w:p>
    <w:p>
      <w:pPr>
        <w:pStyle w:val="Heading2"/>
      </w:pPr>
      <w:r>
        <w:t>Use case fit and willingness to pay</w:t>
      </w:r>
    </w:p>
    <w:p>
      <w:r>
        <w:t>Martha said users would welcome greater throughput, lower latency, and fewer connectivity problems, but willingness to pay remains a separate issue. She connected technology choice to market needs, cost, and lessons from expectations around 5G enterprise adoption. She recommended selecting the best technology or combination of technologies for each use case.</w:t>
      </w:r>
    </w:p>
    <w:p>
      <w:pPr>
        <w:pStyle w:val="Heading2"/>
      </w:pPr>
      <w:r>
        <w:t>Reliability coverage and the digital divide</w:t>
      </w:r>
    </w:p>
    <w:p>
      <w:r>
        <w:t>Khushbu emphasized closing the digital divide through spectrum layering, including lower frequency bands as well as spectrum above 7 GHz. Lower bands could support longer range connectivity while higher bands serve other capacity needs. Peak throughput would remain relevant, but reliability and ubiquitous connectivity were described as broad goals for 6G.</w:t>
      </w:r>
    </w:p>
    <w:p>
      <w:r>
        <w:t>For AI applications, she argued that a dependable link can be more valuable than a faster link with unstable behavior. Her closing comments mentioned sensing as a more specific use case and returned to connecting users globally. The transcript stops mid response, so no additional closing conclusion has been inferred.</w:t>
      </w:r>
    </w:p>
    <w:p>
      <w:pPr>
        <w:pStyle w:val="Heading1"/>
      </w:pPr>
      <w:r>
        <w:t>Decisions commitments and follow up</w:t>
      </w:r>
    </w:p>
    <w:p>
      <w:r>
        <w:t>No formal decision, vote, assigned action owner, or action deadline was recorded. This was a panel exchanging policy, technical, and commercial perspectives. Reported government milestones and 3GPP discussion outcomes should be distinguished from commitments made by panel participants during this session.</w:t>
      </w:r>
    </w:p>
    <w:p>
      <w:pPr>
        <w:pStyle w:val="Heading2"/>
      </w:pPr>
      <w:r>
        <w:t>Suggested follow up based on the discussion</w:t>
      </w:r>
    </w:p>
    <w:p>
      <w:r>
        <w:t>The following items are editorial follow up suggestions derived from the discussion. They were not assigned or agreed during the panel.</w:t>
      </w:r>
    </w:p>
    <w:tbl>
      <w:tblPr>
        <w:tblW w:type="auto" w:w="0"/>
        <w:tblLayout w:type="fixed"/>
        <w:tblLook w:firstColumn="1" w:firstRow="1" w:lastColumn="0" w:lastRow="0" w:noHBand="0" w:noVBand="1" w:val="04A0"/>
      </w:tblPr>
      <w:tblGrid>
        <w:gridCol w:w="2736"/>
        <w:gridCol w:w="5400"/>
        <w:gridCol w:w="1800"/>
      </w:tblGrid>
      <w:tr>
        <w:trPr>
          <w:tblHeader/>
          <w:cantSplit/>
        </w:trPr>
        <w:tc>
          <w:tcPr>
            <w:tcW w:type="dxa" w:w="3312"/>
            <w:vAlign w:val="center"/>
            <w:tcBorders>
              <w:top w:val="single" w:sz="4" w:color="D9D9D9"/>
              <w:left w:val="single" w:sz="4" w:color="D9D9D9"/>
              <w:bottom w:val="single" w:sz="4" w:color="D9D9D9"/>
              <w:right w:val="single" w:sz="4" w:color="D9D9D9"/>
            </w:tcBorders>
            <w:shd w:fill="E7EDF3"/>
          </w:tcPr>
          <w:p>
            <w:pPr>
              <w:spacing w:after="100" w:before="100"/>
            </w:pPr>
            <w:r>
              <w:rPr>
                <w:b/>
                <w:sz w:val="20"/>
              </w:rPr>
              <w:t>Follow up item</w:t>
            </w:r>
          </w:p>
        </w:tc>
        <w:tc>
          <w:tcPr>
            <w:tcW w:type="dxa" w:w="3312"/>
            <w:vAlign w:val="center"/>
            <w:tcBorders>
              <w:top w:val="single" w:sz="4" w:color="D9D9D9"/>
              <w:left w:val="single" w:sz="4" w:color="D9D9D9"/>
              <w:bottom w:val="single" w:sz="4" w:color="D9D9D9"/>
              <w:right w:val="single" w:sz="4" w:color="D9D9D9"/>
            </w:tcBorders>
            <w:shd w:fill="E7EDF3"/>
          </w:tcPr>
          <w:p>
            <w:pPr>
              <w:spacing w:after="100" w:before="100"/>
            </w:pPr>
            <w:r>
              <w:rPr>
                <w:b/>
                <w:sz w:val="20"/>
              </w:rPr>
              <w:t>Purpose</w:t>
            </w:r>
          </w:p>
        </w:tc>
        <w:tc>
          <w:tcPr>
            <w:tcW w:type="dxa" w:w="3312"/>
            <w:vAlign w:val="center"/>
            <w:tcBorders>
              <w:top w:val="single" w:sz="4" w:color="D9D9D9"/>
              <w:left w:val="single" w:sz="4" w:color="D9D9D9"/>
              <w:bottom w:val="single" w:sz="4" w:color="D9D9D9"/>
              <w:right w:val="single" w:sz="4" w:color="D9D9D9"/>
            </w:tcBorders>
            <w:shd w:fill="E7EDF3"/>
          </w:tcPr>
          <w:p>
            <w:pPr>
              <w:spacing w:after="100" w:before="100"/>
            </w:pPr>
            <w:r>
              <w:rPr>
                <w:b/>
                <w:sz w:val="20"/>
              </w:rPr>
              <w:t>Owner and due date</w:t>
            </w:r>
          </w:p>
        </w:tc>
      </w:tr>
      <w:tr>
        <w:trPr>
          <w:cantSplit/>
        </w:trPr>
        <w:tc>
          <w:tcPr>
            <w:tcW w:type="dxa" w:w="273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Confirm spectrum ranges and milestones</w:t>
            </w:r>
          </w:p>
        </w:tc>
        <w:tc>
          <w:tcPr>
            <w:tcW w:type="dxa" w:w="540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Check unclear band endpoints, study completion timing, and the referenced policy instruments.</w:t>
            </w:r>
          </w:p>
        </w:tc>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 assigned</w:t>
            </w:r>
          </w:p>
        </w:tc>
      </w:tr>
      <w:tr>
        <w:trPr>
          <w:cantSplit/>
        </w:trPr>
        <w:tc>
          <w:tcPr>
            <w:tcW w:type="dxa" w:w="273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Track MRSS study outcomes</w:t>
            </w:r>
          </w:p>
        </w:tc>
        <w:tc>
          <w:tcPr>
            <w:tcW w:type="dxa" w:w="540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Confirm the scope of the reported control channel overhead target and the emerging migration requirements.</w:t>
            </w:r>
          </w:p>
        </w:tc>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 assigned</w:t>
            </w:r>
          </w:p>
        </w:tc>
      </w:tr>
      <w:tr>
        <w:trPr>
          <w:cantSplit/>
        </w:trPr>
        <w:tc>
          <w:tcPr>
            <w:tcW w:type="dxa" w:w="273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Assess existing radio capability</w:t>
            </w:r>
          </w:p>
        </w:tc>
        <w:tc>
          <w:tcPr>
            <w:tcW w:type="dxa" w:w="540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Identify which installed hardware could support baseline 6G functions and where replacement would be required.</w:t>
            </w:r>
          </w:p>
        </w:tc>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 assigned</w:t>
            </w:r>
          </w:p>
        </w:tc>
      </w:tr>
      <w:tr>
        <w:trPr>
          <w:cantSplit/>
        </w:trPr>
        <w:tc>
          <w:tcPr>
            <w:tcW w:type="dxa" w:w="273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Define representative RF test cases</w:t>
            </w:r>
          </w:p>
        </w:tc>
        <w:tc>
          <w:tcPr>
            <w:tcW w:type="dxa" w:w="540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Cover interference, sharing, decoupled uplink and downlink, modulation, and antenna configurations.</w:t>
            </w:r>
          </w:p>
        </w:tc>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 assigned</w:t>
            </w:r>
          </w:p>
        </w:tc>
      </w:tr>
      <w:tr>
        <w:trPr>
          <w:cantSplit/>
        </w:trPr>
        <w:tc>
          <w:tcPr>
            <w:tcW w:type="dxa" w:w="273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Evaluate deployment value by use case</w:t>
            </w:r>
          </w:p>
        </w:tc>
        <w:tc>
          <w:tcPr>
            <w:tcW w:type="dxa" w:w="540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Compare reliability, latency, coverage, security, cost, and user willingness to pay alongside capacity.</w:t>
            </w:r>
          </w:p>
        </w:tc>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 assigned</w:t>
            </w:r>
          </w:p>
        </w:tc>
      </w:tr>
    </w:tbl>
    <w:p>
      <w:pPr>
        <w:pStyle w:val="Heading1"/>
      </w:pPr>
      <w:r>
        <w:t>Terminology</w:t>
      </w:r>
    </w:p>
    <w:tbl>
      <w:tblPr>
        <w:tblW w:type="auto" w:w="0"/>
        <w:tblLayout w:type="fixed"/>
        <w:tblLook w:firstColumn="1" w:firstRow="1" w:lastColumn="0" w:lastRow="0" w:noHBand="0" w:noVBand="1" w:val="04A0"/>
      </w:tblPr>
      <w:tblGrid>
        <w:gridCol w:w="1584"/>
        <w:gridCol w:w="8352"/>
      </w:tblGrid>
      <w:tr>
        <w:trPr>
          <w:tblHeader/>
          <w:cantSplit/>
        </w:trPr>
        <w:tc>
          <w:tcPr>
            <w:tcW w:type="dxa" w:w="4968"/>
            <w:vAlign w:val="center"/>
            <w:tcBorders>
              <w:top w:val="single" w:sz="4" w:color="D9D9D9"/>
              <w:left w:val="single" w:sz="4" w:color="D9D9D9"/>
              <w:bottom w:val="single" w:sz="4" w:color="D9D9D9"/>
              <w:right w:val="single" w:sz="4" w:color="D9D9D9"/>
            </w:tcBorders>
            <w:shd w:fill="E7EDF3"/>
          </w:tcPr>
          <w:p>
            <w:pPr>
              <w:spacing w:after="100" w:before="100"/>
            </w:pPr>
            <w:r>
              <w:rPr>
                <w:b/>
                <w:sz w:val="20"/>
              </w:rPr>
              <w:t>Term</w:t>
            </w:r>
          </w:p>
        </w:tc>
        <w:tc>
          <w:tcPr>
            <w:tcW w:type="dxa" w:w="4968"/>
            <w:vAlign w:val="center"/>
            <w:tcBorders>
              <w:top w:val="single" w:sz="4" w:color="D9D9D9"/>
              <w:left w:val="single" w:sz="4" w:color="D9D9D9"/>
              <w:bottom w:val="single" w:sz="4" w:color="D9D9D9"/>
              <w:right w:val="single" w:sz="4" w:color="D9D9D9"/>
            </w:tcBorders>
            <w:shd w:fill="E7EDF3"/>
          </w:tcPr>
          <w:p>
            <w:pPr>
              <w:spacing w:after="100" w:before="100"/>
            </w:pPr>
            <w:r>
              <w:rPr>
                <w:b/>
                <w:sz w:val="20"/>
              </w:rPr>
              <w:t>Meaning in this discussion</w:t>
            </w:r>
          </w:p>
        </w:tc>
      </w:tr>
      <w:tr>
        <w:trPr>
          <w:cantSplit/>
        </w:trPr>
        <w:tc>
          <w:tcPr>
            <w:tcW w:type="dxa" w:w="158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AFC</w:t>
            </w:r>
          </w:p>
        </w:tc>
        <w:tc>
          <w:tcPr>
            <w:tcW w:type="dxa" w:w="835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Automated frequency coordination</w:t>
            </w:r>
          </w:p>
        </w:tc>
      </w:tr>
      <w:tr>
        <w:trPr>
          <w:cantSplit/>
        </w:trPr>
        <w:tc>
          <w:tcPr>
            <w:tcW w:type="dxa" w:w="158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CBRS</w:t>
            </w:r>
          </w:p>
        </w:tc>
        <w:tc>
          <w:tcPr>
            <w:tcW w:type="dxa" w:w="835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Citizens Broadband Radio Service</w:t>
            </w:r>
          </w:p>
        </w:tc>
      </w:tr>
      <w:tr>
        <w:trPr>
          <w:cantSplit/>
        </w:trPr>
        <w:tc>
          <w:tcPr>
            <w:tcW w:type="dxa" w:w="158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DSS</w:t>
            </w:r>
          </w:p>
        </w:tc>
        <w:tc>
          <w:tcPr>
            <w:tcW w:type="dxa" w:w="835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Dynamic spectrum sharing, used here for 4G and 5G coexistence</w:t>
            </w:r>
          </w:p>
        </w:tc>
      </w:tr>
      <w:tr>
        <w:trPr>
          <w:cantSplit/>
        </w:trPr>
        <w:tc>
          <w:tcPr>
            <w:tcW w:type="dxa" w:w="158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IMT</w:t>
            </w:r>
          </w:p>
        </w:tc>
        <w:tc>
          <w:tcPr>
            <w:tcW w:type="dxa" w:w="835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International Mobile Telecommunications</w:t>
            </w:r>
          </w:p>
        </w:tc>
      </w:tr>
      <w:tr>
        <w:trPr>
          <w:cantSplit/>
        </w:trPr>
        <w:tc>
          <w:tcPr>
            <w:tcW w:type="dxa" w:w="158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ISAC</w:t>
            </w:r>
          </w:p>
        </w:tc>
        <w:tc>
          <w:tcPr>
            <w:tcW w:type="dxa" w:w="835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Integrated sensing and communication</w:t>
            </w:r>
          </w:p>
        </w:tc>
      </w:tr>
      <w:tr>
        <w:trPr>
          <w:cantSplit/>
        </w:trPr>
        <w:tc>
          <w:tcPr>
            <w:tcW w:type="dxa" w:w="158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MRSS</w:t>
            </w:r>
          </w:p>
        </w:tc>
        <w:tc>
          <w:tcPr>
            <w:tcW w:type="dxa" w:w="835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Multi RAT spectrum sharing, used here for 5G and 6G coexistence</w:t>
            </w:r>
          </w:p>
        </w:tc>
      </w:tr>
      <w:tr>
        <w:trPr>
          <w:cantSplit/>
        </w:trPr>
        <w:tc>
          <w:tcPr>
            <w:tcW w:type="dxa" w:w="158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NR</w:t>
            </w:r>
          </w:p>
        </w:tc>
        <w:tc>
          <w:tcPr>
            <w:tcW w:type="dxa" w:w="835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New Radio, the 5G radio access technology</w:t>
            </w:r>
          </w:p>
        </w:tc>
      </w:tr>
      <w:tr>
        <w:trPr>
          <w:cantSplit/>
        </w:trPr>
        <w:tc>
          <w:tcPr>
            <w:tcW w:type="dxa" w:w="158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NTN</w:t>
            </w:r>
          </w:p>
        </w:tc>
        <w:tc>
          <w:tcPr>
            <w:tcW w:type="dxa" w:w="835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Non terrestrial networks</w:t>
            </w:r>
          </w:p>
        </w:tc>
      </w:tr>
      <w:tr>
        <w:trPr>
          <w:cantSplit/>
        </w:trPr>
        <w:tc>
          <w:tcPr>
            <w:tcW w:type="dxa" w:w="158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QAM</w:t>
            </w:r>
          </w:p>
        </w:tc>
        <w:tc>
          <w:tcPr>
            <w:tcW w:type="dxa" w:w="835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Quadrature amplitude modulation</w:t>
            </w:r>
          </w:p>
        </w:tc>
      </w:tr>
      <w:tr>
        <w:trPr>
          <w:cantSplit/>
        </w:trPr>
        <w:tc>
          <w:tcPr>
            <w:tcW w:type="dxa" w:w="158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RAT</w:t>
            </w:r>
          </w:p>
        </w:tc>
        <w:tc>
          <w:tcPr>
            <w:tcW w:type="dxa" w:w="835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Radio access technology</w:t>
            </w:r>
          </w:p>
        </w:tc>
      </w:tr>
      <w:tr>
        <w:trPr>
          <w:cantSplit/>
        </w:trPr>
        <w:tc>
          <w:tcPr>
            <w:tcW w:type="dxa" w:w="158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WRC</w:t>
            </w:r>
          </w:p>
        </w:tc>
        <w:tc>
          <w:tcPr>
            <w:tcW w:type="dxa" w:w="835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World Radiocommunication Conference</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6G Spectrum and Test Strategy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