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6G Vision Milestones and Market Readiness</w:t>
      </w:r>
    </w:p>
    <w:p>
      <w:pPr>
        <w:pStyle w:val="Subtitle"/>
      </w:pPr>
      <w:r>
        <w:t>Detailed forum and technical discussion minutes</w:t>
      </w:r>
    </w:p>
    <w:p>
      <w:r>
        <w:t>The source combines the 6G Forum opening, a presentation on milestones and market readiness, and a later interview on AI-native networks, migration, uplink, and commercial value. The central theme was that 6G must become a coherent, economically justified system rather than a collection of features. Speakers supported reuse of existing capabilities but expressed different views about the need for a distinct 6G core. They also highlighted spectrum disagreements, migration complexity, AI integration, and the need for measurable customer benefits.</w:t>
      </w:r>
    </w:p>
    <w:p>
      <w:pPr>
        <w:pStyle w:val="Heading1"/>
      </w:pPr>
      <w:r>
        <w:t>1 Session information and transcript boundaries</w:t>
      </w:r>
    </w:p>
    <w:p>
      <w:r>
        <w:t>Source: raw-6G vision.docx, supplied by the user. The date, venue, exact duration, and complete agenda are not supplied. These minutes report the source rather than independently verify current standards, spectrum policy, market statistics, or financial claims.</w:t>
      </w:r>
    </w:p>
    <w:tbl>
      <w:tblPr>
        <w:tblW w:type="auto" w:w="0"/>
        <w:tblLayout w:type="fixed"/>
        <w:tblLook w:firstColumn="1" w:firstRow="1" w:lastColumn="0" w:lastRow="0" w:noHBand="0" w:noVBand="1" w:val="04A0"/>
      </w:tblPr>
      <w:tblGrid>
        <w:gridCol w:w="2880"/>
        <w:gridCol w:w="7056"/>
      </w:tblGrid>
      <w:tr>
        <w:trPr>
          <w:tblHeader/>
        </w:trPr>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Segment or participant</w:t>
            </w:r>
          </w:p>
        </w:tc>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Information recoverable from the transcript</w:t>
            </w:r>
          </w:p>
        </w:tc>
      </w:tr>
      <w:tr>
        <w:trPr/>
        <w:tc>
          <w:tcPr>
            <w:tcW w:type="dxa" w:w="28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Forum chair</w:t>
            </w:r>
          </w:p>
        </w:tc>
        <w:tc>
          <w:tcPr>
            <w:tcW w:type="dxa" w:w="70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Sean Kinney, introduced as being with RCR Tech</w:t>
            </w:r>
          </w:p>
        </w:tc>
      </w:tr>
      <w:tr>
        <w:trPr/>
        <w:tc>
          <w:tcPr>
            <w:tcW w:type="dxa" w:w="288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Opening presentation</w:t>
            </w:r>
          </w:p>
        </w:tc>
        <w:tc>
          <w:tcPr>
            <w:tcW w:type="dxa" w:w="705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Stefan or Stephane Terrell, introduced as founder and chief analyst of Terrell Research; name and organization spelling require confirmation</w:t>
            </w:r>
          </w:p>
        </w:tc>
      </w:tr>
      <w:tr>
        <w:trPr/>
        <w:tc>
          <w:tcPr>
            <w:tcW w:type="dxa" w:w="28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Presentation subject</w:t>
            </w:r>
          </w:p>
        </w:tc>
        <w:tc>
          <w:tcPr>
            <w:tcW w:type="dxa" w:w="70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6G milestones and market readiness</w:t>
            </w:r>
          </w:p>
        </w:tc>
      </w:tr>
      <w:tr>
        <w:trPr/>
        <w:tc>
          <w:tcPr>
            <w:tcW w:type="dxa" w:w="288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Later interview</w:t>
            </w:r>
          </w:p>
        </w:tc>
        <w:tc>
          <w:tcPr>
            <w:tcW w:type="dxa" w:w="705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Sean addresses a speaker as Marie near the close; surname, affiliation, and introduction are absent</w:t>
            </w:r>
          </w:p>
        </w:tc>
      </w:tr>
      <w:tr>
        <w:trPr/>
        <w:tc>
          <w:tcPr>
            <w:tcW w:type="dxa" w:w="288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Source ending</w:t>
            </w:r>
          </w:p>
        </w:tc>
        <w:tc>
          <w:tcPr>
            <w:tcW w:type="dxa" w:w="70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An incomplete transition or fragment on autonomous networks and AI agents; no additional conclusion can be reconstructed</w:t>
            </w:r>
          </w:p>
        </w:tc>
      </w:tr>
    </w:tbl>
    <w:p/>
    <w:p>
      <w:r>
        <w:t>The transition from the first presenter’s answer about AI to the later interview is not cleanly captured. The subsequent interviewer explicitly refers to Stephane’s presentation as a previous session and later addresses Marie. These minutes therefore treat that material as a separate interview with an incompletely identified speaker, without attributing all of it to the opening presenter.</w:t>
      </w:r>
    </w:p>
    <w:p>
      <w:r>
        <w:t>Clear terminology errors have been normalized to 6G, 3GPP, IMT-2030, OFDM, CP-OFDM, DFT-s-OFDM, MRSS, AMF, ISAC, RAN, and uplink or downlink where context supports the correction. Ambiguous names, chart values, partner lists, and budget units are qualified. Forecasts are not presented as commitments.</w:t>
      </w:r>
    </w:p>
    <w:p>
      <w:pPr>
        <w:pStyle w:val="Heading1"/>
      </w:pPr>
      <w:r>
        <w:t>2 Executive summary</w:t>
      </w:r>
    </w:p>
    <w:p>
      <w:pPr>
        <w:pStyle w:val="ListBullet"/>
      </w:pPr>
      <w:r>
        <w:t>The chair framed 6G readiness as alignment of spectrum, devices, infrastructure, standards, and economics; reaching a calendar year alone is insufficient.</w:t>
      </w:r>
    </w:p>
    <w:p>
      <w:pPr>
        <w:pStyle w:val="ListBullet"/>
      </w:pPr>
      <w:r>
        <w:t>The relationship between 5G-Advanced and 6G is a continuum involving AI optimization, uplink, spectrum sharing, satellite integration, sensing, and distributed intelligence.</w:t>
      </w:r>
    </w:p>
    <w:p>
      <w:pPr>
        <w:pStyle w:val="ListBullet"/>
      </w:pPr>
      <w:r>
        <w:t>The milestones presenter described a broad evolutionary direction but warned of disagreements in spectrum, migration pathways, and core AI architecture.</w:t>
      </w:r>
    </w:p>
    <w:p>
      <w:pPr>
        <w:pStyle w:val="ListBullet"/>
      </w:pPr>
      <w:r>
        <w:t>The presentation outlined three AI directions: a separate AI domain, AI in network functions, and integrated AI agents. None was reported as finally selected in the session.</w:t>
      </w:r>
    </w:p>
    <w:p>
      <w:pPr>
        <w:pStyle w:val="ListBullet"/>
      </w:pPr>
      <w:r>
        <w:t>The later interview favored standalone 6G using reusable 5G standalone core components, with additional sensing and agentic capabilities as justified.</w:t>
      </w:r>
    </w:p>
    <w:p>
      <w:pPr>
        <w:pStyle w:val="ListBullet"/>
      </w:pPr>
      <w:r>
        <w:t>AI placement should follow functional requirements, including latency and proximity to the radio, while exposing programmable capabilities to users and developers.</w:t>
      </w:r>
    </w:p>
    <w:p>
      <w:pPr>
        <w:pStyle w:val="ListBullet"/>
      </w:pPr>
      <w:r>
        <w:t>Growing uplink demand may require decoupled uplink and downlink bands, improved receivers, waveform efficiency, device capabilities, and scheduling.</w:t>
      </w:r>
    </w:p>
    <w:p>
      <w:pPr>
        <w:pStyle w:val="ListBullet"/>
      </w:pPr>
      <w:r>
        <w:t>ISAC offers potential services for detecting and tracking objects that are not connected to the network, while existing services could benefit from scale and efficiency.</w:t>
      </w:r>
    </w:p>
    <w:p>
      <w:pPr>
        <w:pStyle w:val="ListBullet"/>
      </w:pPr>
      <w:r>
        <w:t>Near-term priorities include ecosystem alignment, spectrum planning, and quantifiable benefits. The source records no approved deployment, task owners, or formal standards decisions.</w:t>
      </w:r>
    </w:p>
    <w:p>
      <w:pPr>
        <w:pStyle w:val="Heading1"/>
      </w:pPr>
      <w:r>
        <w:t>3 Opening framework for the 6G Forum</w:t>
      </w:r>
    </w:p>
    <w:p>
      <w:pPr>
        <w:pStyle w:val="Heading2"/>
      </w:pPr>
      <w:r>
        <w:t>3 1 From vision to engineering</w:t>
      </w:r>
    </w:p>
    <w:p>
      <w:r>
        <w:t>Sean described the industry conversation as moving from broad ideas toward consequential engineering choices. The vision includes AI-native networks, integrated sensing and communications, ubiquitous terrestrial and non-terrestrial connectivity, distributed compute, spectrum, devices, and new experiences.</w:t>
      </w:r>
    </w:p>
    <w:p>
      <w:r>
        <w:t>He referenced the ITU IMT-2030 framework and requirements, Release 20 study work, and subsequent Release 21 normative specifications. These were statements about the process during the session, not a current-status verification.</w:t>
      </w:r>
    </w:p>
    <w:p>
      <w:pPr>
        <w:pStyle w:val="Heading2"/>
      </w:pPr>
      <w:r>
        <w:t>3 2 System and economic questions</w:t>
      </w:r>
    </w:p>
    <w:p>
      <w:pPr>
        <w:pStyle w:val="ListBullet"/>
      </w:pPr>
      <w:r>
        <w:t>What architecture should be built, and which changes belong in the radio, core, devices, spectrum portfolio, and operating model?</w:t>
      </w:r>
    </w:p>
    <w:p>
      <w:pPr>
        <w:pStyle w:val="ListBullet"/>
      </w:pPr>
      <w:r>
        <w:t>Which spectrum can realistically become available?</w:t>
      </w:r>
    </w:p>
    <w:p>
      <w:pPr>
        <w:pStyle w:val="ListBullet"/>
      </w:pPr>
      <w:r>
        <w:t>How can AI be integrated coherently rather than as disconnected experiments?</w:t>
      </w:r>
    </w:p>
    <w:p>
      <w:pPr>
        <w:pStyle w:val="ListBullet"/>
      </w:pPr>
      <w:r>
        <w:t>How should terrestrial and non-terrestrial networks converge?</w:t>
      </w:r>
    </w:p>
    <w:p>
      <w:pPr>
        <w:pStyle w:val="ListBullet"/>
      </w:pPr>
      <w:r>
        <w:t>How should ISAC be validated under real operating conditions?</w:t>
      </w:r>
    </w:p>
    <w:p>
      <w:pPr>
        <w:pStyle w:val="ListBullet"/>
      </w:pPr>
      <w:r>
        <w:t>Where will measurable operator and customer value arise?</w:t>
      </w:r>
    </w:p>
    <w:p>
      <w:r>
        <w:t>The chair cautioned that more capacity is insufficient if its delivery cost does not improve; additional intelligence is problematic if it makes operation harder; and technically impressive features are weak propositions if customers will not pay for them.</w:t>
      </w:r>
    </w:p>
    <w:p>
      <w:pPr>
        <w:pStyle w:val="Heading2"/>
      </w:pPr>
      <w:r>
        <w:t>3 3 Relationship to 5G Advanced</w:t>
      </w:r>
    </w:p>
    <w:p>
      <w:r>
        <w:t>AI optimization, new uplink approaches, spectrum sharing, terrestrial and satellite integration, sensing, and distributed intelligence were described as already emerging. The forum would examine where evolution ends and a distinct 6G system begins, including where a clean break is justified.</w:t>
      </w:r>
    </w:p>
    <w:p>
      <w:r>
        <w:t>The stated agenda spans milestones and readiness, vision and architecture, AI in the core, spectrum and testing, connectivity across land, sea, and space, ISAC and validation, monetization, and working backward from 2030. The transcript does not include all these sessions.</w:t>
      </w:r>
    </w:p>
    <w:p>
      <w:pPr>
        <w:pStyle w:val="Heading1"/>
      </w:pPr>
      <w:r>
        <w:t>4 Milestones and radio technology continuity</w:t>
      </w:r>
    </w:p>
    <w:p>
      <w:pPr>
        <w:pStyle w:val="Heading2"/>
      </w:pPr>
      <w:r>
        <w:t>4 1 ITU process and consensus building</w:t>
      </w:r>
    </w:p>
    <w:p>
      <w:r>
        <w:t>The presenter showed an ITU-R timeline and said the process was approaching the end of requirements and evaluation-criteria work and moving toward evaluation and consensus building. The referenced slide is not supplied, so detailed milestones beyond the narration are not reconstructed.</w:t>
      </w:r>
    </w:p>
    <w:p>
      <w:r>
        <w:t>He characterized consensus building as difficult but historically achievable. His description of a global preference for evolutionary 6G was an assessment of industry direction, not a formal resolution adopted at this forum.</w:t>
      </w:r>
    </w:p>
    <w:p>
      <w:pPr>
        <w:pStyle w:val="Heading2"/>
      </w:pPr>
      <w:r>
        <w:t>4 2 OFDM and waveform reuse</w:t>
      </w:r>
    </w:p>
    <w:p>
      <w:r>
        <w:t>The presentation emphasized continuity in the OFDM family from LTE through 5G and toward 6G. The speaker’s rationale was that common technology supports a global ecosystem and affordable devices, reducing fragmentation compared with earlier generations.</w:t>
      </w:r>
    </w:p>
    <w:p>
      <w:r>
        <w:t>CP-OFDM was discussed as a familiar waveform used in existing systems. DFT-s-OFDM was described in connection with LTE uplink, where it was known as SC-FDMA, and an optional 5G uplink mode intended to limit device power demands. Uplink efficiency was presented as increasingly important with emerging traffic patterns.</w:t>
      </w:r>
    </w:p>
    <w:p>
      <w:r>
        <w:t>The speaker also said 5G channel-coding schemes would be reused in 6G. No coding selection or waveform specification was approved in the session. These statements reflect the presentation and should not be treated as confirmation that all 6G radio details are final.</w:t>
      </w:r>
    </w:p>
    <w:p>
      <w:pPr>
        <w:pStyle w:val="Heading1"/>
      </w:pPr>
      <w:r>
        <w:t>5 Spectrum disagreements and harmonization</w:t>
      </w:r>
    </w:p>
    <w:p>
      <w:r>
        <w:t>The presenter identified spectrum as a major area without complete consensus. He referred to differing 6 GHz treatment across regions and emphasized Wi-Fi interests in the United States and Canada, with Saudi Arabia also mentioned. The source contains no complete allocation table or precise regional rules.</w:t>
      </w:r>
    </w:p>
    <w:p>
      <w:r>
        <w:t>He described a United States study launched in August concerning spectrum around 4 GHz, including availability and propagation questions. The year, sponsoring agency, and study title are not established in the transcript.</w:t>
      </w:r>
    </w:p>
    <w:p>
      <w:r>
        <w:t>Cross-border harmonization was identified as important for ecosystem scale and affordable devices. The speaker described emerging agreement around 7 GHz and referred to WRC-23 and WRC-27. The precise frequencies, conference decisions, and regulatory status were not supplied and are not inferred.</w:t>
      </w:r>
    </w:p>
    <w:p>
      <w:r>
        <w:t>The discussion highlighted spectrum fragmentation as an obstacle but did not provide a finalized global spectrum plan. Regional claims in the speech remain reported viewpoints rather than independent policy findings.</w:t>
      </w:r>
    </w:p>
    <w:p>
      <w:pPr>
        <w:pStyle w:val="Heading1"/>
      </w:pPr>
      <w:r>
        <w:t>6 Migration and core AI architecture disputes</w:t>
      </w:r>
    </w:p>
    <w:p>
      <w:pPr>
        <w:pStyle w:val="Heading2"/>
      </w:pPr>
      <w:r>
        <w:t>6 1 Migration pathways</w:t>
      </w:r>
    </w:p>
    <w:p>
      <w:r>
        <w:t>The presenter said MRSS, multi-RAT spectrum sharing, had been accepted as a baseline, while disagreement remained about how many migration paths and additional connectivity configurations to allow. This was his account of standards discussions, not a decision reached during the recorded session.</w:t>
      </w:r>
    </w:p>
    <w:p>
      <w:r>
        <w:t>He drew a comparison with 5G non-standalone versus standalone choices. In the non-standalone model, the 4G core serves as an anchor; the question for 6G is what core and connectivity arrangements are needed without multiplying complexity.</w:t>
      </w:r>
    </w:p>
    <w:p>
      <w:pPr>
        <w:pStyle w:val="Heading2"/>
      </w:pPr>
      <w:r>
        <w:t>6 2 Presenter position on the core</w:t>
      </w:r>
    </w:p>
    <w:p>
      <w:r>
        <w:t>The milestones presenter explicitly argued that a separate 6G core is unnecessary and that existing 5G functions are sufficient as a basis. This is his personal architectural position. It differs from the later interview’s preference for standalone 6G with an evolved and reusable core.</w:t>
      </w:r>
    </w:p>
    <w:p>
      <w:pPr>
        <w:pStyle w:val="Heading2"/>
      </w:pPr>
      <w:r>
        <w:t>6 3 Three AI directions described</w:t>
      </w:r>
    </w:p>
    <w:tbl>
      <w:tblPr>
        <w:tblW w:type="auto" w:w="0"/>
        <w:tblLayout w:type="fixed"/>
        <w:tblLook w:firstColumn="1" w:firstRow="1" w:lastColumn="0" w:lastRow="0" w:noHBand="0" w:noVBand="1" w:val="04A0"/>
      </w:tblPr>
      <w:tblGrid>
        <w:gridCol w:w="2160"/>
        <w:gridCol w:w="4320"/>
        <w:gridCol w:w="3456"/>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Direction</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Description from the presentation</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Unresolved point</w:t>
            </w:r>
          </w:p>
        </w:tc>
      </w:tr>
      <w:tr>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Separate AI domain</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Place AI capabilities in a distinct domain</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Interaction with connectivity functions and proposed compromise</w:t>
            </w:r>
          </w:p>
        </w:tc>
      </w:tr>
      <w:tr>
        <w:trPr/>
        <w:tc>
          <w:tcPr>
            <w:tcW w:type="dxa" w:w="216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AI in network functions</w:t>
            </w:r>
          </w:p>
        </w:tc>
        <w:tc>
          <w:tcPr>
            <w:tcW w:type="dxa" w:w="432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Integrate AI into dedicated functions described as 6G functions</w:t>
            </w:r>
          </w:p>
        </w:tc>
        <w:tc>
          <w:tcPr>
            <w:tcW w:type="dxa" w:w="345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Which functions would exist and why they are needed</w:t>
            </w:r>
          </w:p>
        </w:tc>
      </w:tr>
      <w:tr>
        <w:trPr/>
        <w:tc>
          <w:tcPr>
            <w:tcW w:type="dxa" w:w="216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Integrated AI agents</w:t>
            </w:r>
          </w:p>
        </w:tc>
        <w:tc>
          <w:tcPr>
            <w:tcW w:type="dxa" w:w="432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Introduce agents into network operation</w:t>
            </w:r>
          </w:p>
        </w:tc>
        <w:tc>
          <w:tcPr>
            <w:tcW w:type="dxa" w:w="34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How integration is standardized and governed</w:t>
            </w:r>
          </w:p>
        </w:tc>
      </w:tr>
    </w:tbl>
    <w:p/>
    <w:p>
      <w:r>
        <w:t>The presenter associated the directions with different company and regional groupings. The names are partly corrupted in the transcript, so a definitive support matrix is not reproduced. The first grouping included Nokia, T-Mobile US, Qualcomm, and Ericsson; the second named Samsung and LG; the third mentioned Huawei, HiSilicon, and China Mobile. These are affiliations reported by the speaker, not verified company positions.</w:t>
      </w:r>
    </w:p>
    <w:p>
      <w:r>
        <w:t>A possible compromise was described as partially combining directions while isolating an AI domain and avoiding potential routing issues involving the AMF. The precise checkpoint wording is unclear, and no implementable design can be recovered from it.</w:t>
      </w:r>
    </w:p>
    <w:p>
      <w:r>
        <w:t>The speaker expected another chapter of discussion at a meeting in December. The session date and meeting identifier are missing, so no calendar commitment is inferred.</w:t>
      </w:r>
    </w:p>
    <w:p>
      <w:pPr>
        <w:pStyle w:val="Heading1"/>
      </w:pPr>
      <w:r>
        <w:t>7 Geopolitics investment and standard fragmentation</w:t>
      </w:r>
    </w:p>
    <w:p>
      <w:pPr>
        <w:pStyle w:val="Heading2"/>
      </w:pPr>
      <w:r>
        <w:t>7 1 Geopolitics as an influence</w:t>
      </w:r>
    </w:p>
    <w:p>
      <w:r>
        <w:t>The presenter argued that technological leadership has economic and military consequences and that geopolitical competition increasingly shapes 6G. He warned that the risk of fragmented standards is growing. This is his interpretation rather than an established outcome.</w:t>
      </w:r>
    </w:p>
    <w:p>
      <w:r>
        <w:t>He linked standards fragmentation with spectrum differences and device-market restrictions and used historical fragmentation as an illustration. The transcript does not demonstrate that a fractured 6G standard has been adopted.</w:t>
      </w:r>
    </w:p>
    <w:p>
      <w:pPr>
        <w:pStyle w:val="Heading2"/>
      </w:pPr>
      <w:r>
        <w:t>7 2 Financial and patent charts</w:t>
      </w:r>
    </w:p>
    <w:p>
      <w:r>
        <w:t>The presentation referenced R&amp;D expenditure and patent charts, including older data attributed to OECD and other sources. The slides and source datasets are absent. Reported figures are recorded below only to preserve the speech, with the limitations needed to interpret them.</w:t>
      </w:r>
    </w:p>
    <w:tbl>
      <w:tblPr>
        <w:tblW w:type="auto" w:w="0"/>
        <w:tblLayout w:type="fixed"/>
        <w:tblLook w:firstColumn="1" w:firstRow="1" w:lastColumn="0" w:lastRow="0" w:noHBand="0" w:noVBand="1" w:val="04A0"/>
      </w:tblPr>
      <w:tblGrid>
        <w:gridCol w:w="4896"/>
        <w:gridCol w:w="5040"/>
      </w:tblGrid>
      <w:tr>
        <w:trPr>
          <w:tblHeader/>
        </w:trPr>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Claim stated</w:t>
            </w:r>
          </w:p>
        </w:tc>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Source limitation</w:t>
            </w:r>
          </w:p>
        </w:tc>
      </w:tr>
      <w:tr>
        <w:trPr/>
        <w:tc>
          <w:tcPr>
            <w:tcW w:type="dxa" w:w="48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China and United States R&amp;D figures were described as reaching roughly one trillion dollars by 2024</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Measure, currency basis, grouping, and chart methodology are not recoverable</w:t>
            </w:r>
          </w:p>
        </w:tc>
      </w:tr>
      <w:tr>
        <w:trPr/>
        <w:tc>
          <w:tcPr>
            <w:tcW w:type="dxa" w:w="489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About 14 billion dollars of 6G R&amp;D investment was cited</w:t>
            </w:r>
          </w:p>
        </w:tc>
        <w:tc>
          <w:tcPr>
            <w:tcW w:type="dxa" w:w="504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Period, included entities, and definition of investment are unclear</w:t>
            </w:r>
          </w:p>
        </w:tc>
      </w:tr>
      <w:tr>
        <w:trPr/>
        <w:tc>
          <w:tcPr>
            <w:tcW w:type="dxa" w:w="489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 700 billion dollar AI commitment was contrasted with 6G investment</w:t>
            </w:r>
          </w:p>
        </w:tc>
        <w:tc>
          <w:tcPr>
            <w:tcW w:type="dxa" w:w="5040"/>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Basis and period are unspecified; comparability is not established</w:t>
            </w:r>
          </w:p>
        </w:tc>
      </w:tr>
      <w:tr>
        <w:trPr/>
        <w:tc>
          <w:tcPr>
            <w:tcW w:type="dxa" w:w="4896"/>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China was described as leading 6G patent applications, with a figure transcribed as 40.30 percent</w:t>
            </w:r>
          </w:p>
        </w:tc>
        <w:tc>
          <w:tcPr>
            <w:tcW w:type="dxa" w:w="5040"/>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Patent scope, denominator, date, and methodology are missing</w:t>
            </w:r>
          </w:p>
        </w:tc>
      </w:tr>
    </w:tbl>
    <w:p/>
    <w:p>
      <w:r>
        <w:t>These figures should not be used as validated comparisons. The later military-budget statement has an inconsistent magnitude and unit in the transcription, so no budget amount is reproduced as a fact.</w:t>
      </w:r>
    </w:p>
    <w:p>
      <w:pPr>
        <w:pStyle w:val="Heading2"/>
      </w:pPr>
      <w:r>
        <w:t>7 3 ISAC and immediate demand</w:t>
      </w:r>
    </w:p>
    <w:p>
      <w:r>
        <w:t>The speaker connected ISAC with current defense and security needs and argued that it can be deployed using existing systems without waiting for 6G, although substantial signal processing is needed. No test result, coverage area, or deployment plan was presented.</w:t>
      </w:r>
    </w:p>
    <w:p>
      <w:pPr>
        <w:pStyle w:val="Heading1"/>
      </w:pPr>
      <w:r>
        <w:t>8 Opening presentation questions and responses</w:t>
      </w:r>
    </w:p>
    <w:p>
      <w:pPr>
        <w:pStyle w:val="Heading2"/>
      </w:pPr>
      <w:r>
        <w:t>8 1 What supports a commercial return</w:t>
      </w:r>
    </w:p>
    <w:p>
      <w:r>
        <w:t>Sean asked what broad commercial justification could support a large operator investment cycle beyond defense interest in sensing. The presenter cited possible sensing applications in meteorology and agriculture but questioned who would pay. He acknowledged that he did not have a clear answer about the revenue needed to justify investment.</w:t>
      </w:r>
    </w:p>
    <w:p>
      <w:r>
        <w:t>The response emphasized uncertainty and the fact that many attractive use cases overlap with earlier 5G expectations. It did not reject every opportunity, but did not establish a paying customer, price, or business case.</w:t>
      </w:r>
    </w:p>
    <w:p>
      <w:pPr>
        <w:pStyle w:val="Heading2"/>
      </w:pPr>
      <w:r>
        <w:t>8 2 Is the AI opportunity inseparable from 6G</w:t>
      </w:r>
    </w:p>
    <w:p>
      <w:r>
        <w:t>The presenter initially answered that AI and 6G are separate tracks at present and that network AI predates the new generation. The transcript then moves into a longer discussion without a clear speaker introduction. The subsequent reference to a previous session and the closing address to Marie indicate a segment transition; the remainder is summarized below as the later interview.</w:t>
      </w:r>
    </w:p>
    <w:p>
      <w:pPr>
        <w:pStyle w:val="Heading1"/>
      </w:pPr>
      <w:r>
        <w:t>9 Later interview on AI native networks</w:t>
      </w:r>
    </w:p>
    <w:p>
      <w:pPr>
        <w:pStyle w:val="Heading2"/>
      </w:pPr>
      <w:r>
        <w:t>9 1 Distributed intelligence</w:t>
      </w:r>
    </w:p>
    <w:p>
      <w:r>
        <w:t>The interview speaker described AI across radio equipment, base stations, core functions, and centralized environments. Models could differ in size and purpose. Functions with very short round-trip or latency requirements may need to reside close to the radio, while other capabilities remain centralized.</w:t>
      </w:r>
    </w:p>
    <w:p>
      <w:r>
        <w:t>The direction is distributed AI across network software and hardware, combined with agent integration, intent-based autonomy, and a more data-centric approach. The source does not supply a final placement algorithm or control architecture.</w:t>
      </w:r>
    </w:p>
    <w:p>
      <w:pPr>
        <w:pStyle w:val="Heading2"/>
      </w:pPr>
      <w:r>
        <w:t>9 2 Connectivity compute and AI as a platform</w:t>
      </w:r>
    </w:p>
    <w:p>
      <w:r>
        <w:t>Sean framed the vision as convergence of connectivity, compute, and AI. The interview speaker described the mobile network as more than a transport pipe: it could help determine where and how data is processed and which models are appropriate for particular functions, with real-time management.</w:t>
      </w:r>
    </w:p>
    <w:p>
      <w:pPr>
        <w:pStyle w:val="Heading2"/>
      </w:pPr>
      <w:r>
        <w:t>9 3 Programmable exposure</w:t>
      </w:r>
    </w:p>
    <w:p>
      <w:r>
        <w:t>The speaker described expanding APIs already emerging in 5G. Existing areas such as security, device location, and QoS differentiation could be supplemented with improved uplink or downlink capabilities, trust-related security, geofencing, and spatial data exposure.</w:t>
      </w:r>
    </w:p>
    <w:p>
      <w:r>
        <w:t>The discussion connected programmability with potential monetization but did not define a charging scheme, API specification, developer contract, or approved service. The capabilities were examples of a prospective platform.</w:t>
      </w:r>
    </w:p>
    <w:p>
      <w:pPr>
        <w:pStyle w:val="Heading1"/>
      </w:pPr>
      <w:r>
        <w:t>10 Later interview on migration and spectrum sharing</w:t>
      </w:r>
    </w:p>
    <w:p>
      <w:pPr>
        <w:pStyle w:val="Heading2"/>
      </w:pPr>
      <w:r>
        <w:t>10 1 Lessons from multiple 5G options</w:t>
      </w:r>
    </w:p>
    <w:p>
      <w:r>
        <w:t>The interview speaker said multiple initial architecture options increased complexity. A strong tie to 4G through non-standalone 5G was followed by later introduction of standalone and a new core, which was described as painful.</w:t>
      </w:r>
    </w:p>
    <w:p>
      <w:r>
        <w:t>The preferred 6G path was standalone from the start, with evolutionary reuse of 5G standalone core components and additional functions for ISAC or agentic control where appropriate. This differs from the earlier presenter’s claim that no distinct 6G core is needed; the session did not reconcile these positions.</w:t>
      </w:r>
    </w:p>
    <w:p>
      <w:pPr>
        <w:pStyle w:val="Heading2"/>
      </w:pPr>
      <w:r>
        <w:t>10 2 MRSS efficiency and deployment</w:t>
      </w:r>
    </w:p>
    <w:p>
      <w:r>
        <w:t>The interview speaker contrasted always-on signals and overhead in 4G-to-5G sharing with the leaner 5G and prospective 6G designs. She forecast sharing overhead could be up to ten times lower and support both FDD and TDD bands. No configuration or measurement evidence was supplied.</w:t>
      </w:r>
    </w:p>
    <w:p>
      <w:r>
        <w:t>The proposal was to introduce 6G where 5G spectrum and infrastructure are already available, then aggregate new 6G spectrum to obtain useful performance from day one. References to older-generation spectrum imply reuse or transition of assets, not a defined mechanism for simultaneous sharing across every generation.</w:t>
      </w:r>
    </w:p>
    <w:p>
      <w:r>
        <w:t>No exact MRSS procedure, performance guarantee, new band allocation, or operator migration schedule was established.</w:t>
      </w:r>
    </w:p>
    <w:p>
      <w:pPr>
        <w:pStyle w:val="Heading1"/>
      </w:pPr>
      <w:r>
        <w:t>11 Uplink growth and technical responses</w:t>
      </w:r>
    </w:p>
    <w:p>
      <w:pPr>
        <w:pStyle w:val="Heading2"/>
      </w:pPr>
      <w:r>
        <w:t>11 1 Traffic changes</w:t>
      </w:r>
    </w:p>
    <w:p>
      <w:r>
        <w:t>Sean referred to Ericsson Mobility Report projections and physical AI as drivers of uplink traffic. The interview speaker said networks have historically prioritized downlink capacity and best-effort latency, but face increasing uplink demand. She still expected downlink to remain more demanding for the foreseeable future.</w:t>
      </w:r>
    </w:p>
    <w:p>
      <w:r>
        <w:t>The speaker forecast roughly threefold uplink growth in the next couple of years and a further threefold increase afterward. The source date, report edition, forecast methodology, and periods are incomplete, so no precise combined growth projection is derived.</w:t>
      </w:r>
    </w:p>
    <w:p>
      <w:r>
        <w:t>Drivers include physical AI, AI agents, applications, smart wearables, and autonomous vehicles. Device power limits make uplink coverage challenging, and additional spectrum at higher frequencies does not automatically solve that problem.</w:t>
      </w:r>
    </w:p>
    <w:p>
      <w:pPr>
        <w:pStyle w:val="Heading2"/>
      </w:pPr>
      <w:r>
        <w:t>11 2 Candidate uplink improvements</w:t>
      </w:r>
    </w:p>
    <w:tbl>
      <w:tblPr>
        <w:tblW w:type="auto" w:w="0"/>
        <w:tblLayout w:type="fixed"/>
        <w:tblLook w:firstColumn="1" w:firstRow="1" w:lastColumn="0" w:lastRow="0" w:noHBand="0" w:noVBand="1" w:val="04A0"/>
      </w:tblPr>
      <w:tblGrid>
        <w:gridCol w:w="4032"/>
        <w:gridCol w:w="5904"/>
      </w:tblGrid>
      <w:tr>
        <w:trPr>
          <w:tblHeader/>
        </w:trPr>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Capability</w:t>
            </w:r>
          </w:p>
        </w:tc>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Purpose described</w:t>
            </w:r>
          </w:p>
        </w:tc>
      </w:tr>
      <w:tr>
        <w:trP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Uplink and downlink decoupling</w:t>
            </w:r>
          </w:p>
        </w:tc>
        <w:tc>
          <w:tcPr>
            <w:tcW w:type="dxa" w:w="59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Use a higher band for downlink and a lower band for uplink where appropriate</w:t>
            </w:r>
          </w:p>
        </w:tc>
      </w:tr>
      <w:tr>
        <w:trPr/>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More efficient uplink waveforms</w:t>
            </w:r>
          </w:p>
        </w:tc>
        <w:tc>
          <w:tcPr>
            <w:tcW w:type="dxa" w:w="590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Improve transmission efficiency for demanding applications</w:t>
            </w:r>
          </w:p>
        </w:tc>
      </w:tr>
      <w:tr>
        <w:trP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AI native base station receivers</w:t>
            </w:r>
          </w:p>
        </w:tc>
        <w:tc>
          <w:tcPr>
            <w:tcW w:type="dxa" w:w="59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Improve uplink reception through implementation algorithms</w:t>
            </w:r>
          </w:p>
        </w:tc>
      </w:tr>
      <w:tr>
        <w:trPr/>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Higher device power in suitable scenarios</w:t>
            </w:r>
          </w:p>
        </w:tc>
        <w:tc>
          <w:tcPr>
            <w:tcW w:type="dxa" w:w="590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Address power-limited performance where allowed and appropriate</w:t>
            </w:r>
          </w:p>
        </w:tc>
      </w:tr>
      <w:tr>
        <w:trPr/>
        <w:tc>
          <w:tcPr>
            <w:tcW w:type="dxa" w:w="4032"/>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Improved device antennas</w:t>
            </w:r>
          </w:p>
        </w:tc>
        <w:tc>
          <w:tcPr>
            <w:tcW w:type="dxa" w:w="59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Increase useful link performance</w:t>
            </w:r>
          </w:p>
        </w:tc>
      </w:tr>
      <w:tr>
        <w:trPr/>
        <w:tc>
          <w:tcPr>
            <w:tcW w:type="dxa" w:w="4032"/>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Scheduling changes</w:t>
            </w:r>
          </w:p>
        </w:tc>
        <w:tc>
          <w:tcPr>
            <w:tcW w:type="dxa" w:w="590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Improve uplink round-trip time, with possible downlink benefits</w:t>
            </w:r>
          </w:p>
        </w:tc>
      </w:tr>
    </w:tbl>
    <w:p/>
    <w:p>
      <w:r>
        <w:t>The speaker distinguished possible 3GPP specification improvements from vendor receiver algorithms in products. No waveform, device-power limit, scheduling rule, or numerical performance target was adopted.</w:t>
      </w:r>
    </w:p>
    <w:p>
      <w:pPr>
        <w:pStyle w:val="Heading1"/>
      </w:pPr>
      <w:r>
        <w:t>12 Use cases and quantifiable value</w:t>
      </w:r>
    </w:p>
    <w:p>
      <w:r>
        <w:t>The interview speaker argued that a new generation needs measurable monetization opportunities or system-efficiency gains. Existing mobile broadband, connected vehicles, smart factories, and optimized fixed wireless access could continue with improved scale and efficiency.</w:t>
      </w:r>
    </w:p>
    <w:p>
      <w:r>
        <w:t>Immersive communications could benefit from stronger uplink, wider-area coverage, efficient wearables, spatial data, and more accurate positioning. No final service definition or customer payment commitment was given.</w:t>
      </w:r>
    </w:p>
    <w:p>
      <w:pPr>
        <w:pStyle w:val="Heading2"/>
      </w:pPr>
      <w:r>
        <w:t>12 1 Sensing unconnected objects</w:t>
      </w:r>
    </w:p>
    <w:p>
      <w:r>
        <w:t>ISAC was described as using transmitted and reflected signals to detect, track, and locate objects that are not connected to the network. This differs from locating a participating smartphone. The speaker compared the principle with radar and described creation of a spatial view of the surroundings.</w:t>
      </w:r>
    </w:p>
    <w:p>
      <w:r>
        <w:t>Examples included detection of an unauthorized drone, guidance of an approved drone along a flight path, and awareness of surroundings for interactive gaming. The interview speaker saw potential willingness to pay, but provided no price or validated demand study. This more optimistic view contrasts with the opening presenter’s uncertainty about commercial payment.</w:t>
      </w:r>
    </w:p>
    <w:p>
      <w:pPr>
        <w:pStyle w:val="Heading1"/>
      </w:pPr>
      <w:r>
        <w:t>13 Near term priorities and readiness</w:t>
      </w:r>
    </w:p>
    <w:p>
      <w:r>
        <w:t>In the closing question, Sean asked what the industry most needs to get right to deliver the vision. The interview speaker highlighted three priorities.</w:t>
      </w:r>
    </w:p>
    <w:p>
      <w:pPr>
        <w:pStyle w:val="ListBullet"/>
      </w:pPr>
      <w:r>
        <w:t>Align the full ecosystem, including infrastructure, devices, and applications, early enough to build a coherent end-to-end system.</w:t>
      </w:r>
    </w:p>
    <w:p>
      <w:pPr>
        <w:pStyle w:val="ListBullet"/>
      </w:pPr>
      <w:r>
        <w:t>Plan for additional mobile spectrum through the World Radiocommunication Conference cycle, while recognizing that not all regions need new spectrum immediately at the start of 2030.</w:t>
      </w:r>
    </w:p>
    <w:p>
      <w:pPr>
        <w:pStyle w:val="ListBullet"/>
      </w:pPr>
      <w:r>
        <w:t>Ensure each technology delivers quantifiable benefits rather than merely a new logo on a handset.</w:t>
      </w:r>
    </w:p>
    <w:p>
      <w:r>
        <w:t>The interview ended with thanks. The trailing fragment on autonomous networks does not contain enough complete discussion to support an additional technical outcome.</w:t>
      </w:r>
    </w:p>
    <w:p>
      <w:pPr>
        <w:pStyle w:val="Heading1"/>
      </w:pPr>
      <w:r>
        <w:t>14 Discussion outcomes and unresolved issues</w:t>
      </w:r>
    </w:p>
    <w:p>
      <w:pPr>
        <w:pStyle w:val="Heading2"/>
      </w:pPr>
      <w:r>
        <w:t>14 1 Common themes</w:t>
      </w:r>
    </w:p>
    <w:p>
      <w:pPr>
        <w:pStyle w:val="ListBullet"/>
      </w:pPr>
      <w:r>
        <w:t>Evolution and reuse of existing investments matter for commercial feasibility.</w:t>
      </w:r>
    </w:p>
    <w:p>
      <w:pPr>
        <w:pStyle w:val="ListBullet"/>
      </w:pPr>
      <w:r>
        <w:t>Radio, core, spectrum, devices, AI, operating models, and economics must be evaluated together.</w:t>
      </w:r>
    </w:p>
    <w:p>
      <w:pPr>
        <w:pStyle w:val="ListBullet"/>
      </w:pPr>
      <w:r>
        <w:t>Uplink and sensing are important areas of potential differentiation.</w:t>
      </w:r>
    </w:p>
    <w:p>
      <w:pPr>
        <w:pStyle w:val="ListBullet"/>
      </w:pPr>
      <w:r>
        <w:t>Commercial value must be measurable and tied to customers or operating efficiency.</w:t>
      </w:r>
    </w:p>
    <w:p>
      <w:pPr>
        <w:pStyle w:val="Heading2"/>
      </w:pPr>
      <w:r>
        <w:t>14 2 Differences in viewpoint</w:t>
      </w:r>
    </w:p>
    <w:tbl>
      <w:tblPr>
        <w:tblW w:type="auto" w:w="0"/>
        <w:tblLayout w:type="fixed"/>
        <w:tblLook w:firstColumn="1" w:firstRow="1" w:lastColumn="0" w:lastRow="0" w:noHBand="0" w:noVBand="1" w:val="04A0"/>
      </w:tblPr>
      <w:tblGrid>
        <w:gridCol w:w="2304"/>
        <w:gridCol w:w="3744"/>
        <w:gridCol w:w="3888"/>
      </w:tblGrid>
      <w:tr>
        <w:trPr>
          <w:tblHeader/>
        </w:trPr>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Question</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Opening presenter</w:t>
            </w:r>
          </w:p>
        </w:tc>
        <w:tc>
          <w:tcPr>
            <w:tcW w:type="dxa" w:w="3312"/>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Later interview</w:t>
            </w:r>
          </w:p>
        </w:tc>
      </w:tr>
      <w:tr>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Need for a 6G core</w:t>
            </w:r>
          </w:p>
        </w:tc>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Argued a distinct 6G core is unnecessary</w:t>
            </w:r>
          </w:p>
        </w:tc>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Favored standalone 6G with reusable core components and new capabilities</w:t>
            </w:r>
          </w:p>
        </w:tc>
      </w:tr>
      <w:tr>
        <w:trPr/>
        <w:tc>
          <w:tcPr>
            <w:tcW w:type="dxa" w:w="230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Commercial justification</w:t>
            </w:r>
          </w:p>
        </w:tc>
        <w:tc>
          <w:tcPr>
            <w:tcW w:type="dxa" w:w="3744"/>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Uncertain who pays for many sensing use cases</w:t>
            </w:r>
          </w:p>
        </w:tc>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Saw potential willingness to pay and efficiency benefits</w:t>
            </w:r>
          </w:p>
        </w:tc>
      </w:tr>
      <w:tr>
        <w:trPr/>
        <w:tc>
          <w:tcPr>
            <w:tcW w:type="dxa" w:w="230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AI relationship to 6G</w:t>
            </w:r>
          </w:p>
        </w:tc>
        <w:tc>
          <w:tcPr>
            <w:tcW w:type="dxa" w:w="374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Initially described separate tracks at present</w:t>
            </w:r>
          </w:p>
        </w:tc>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Described distributed AI and agentic capabilities as part of the evolving platform</w:t>
            </w:r>
          </w:p>
        </w:tc>
      </w:tr>
    </w:tbl>
    <w:p/>
    <w:p>
      <w:r>
        <w:t>These positions were not reconciled through a formal decision. The transcript records no adopted architecture, approved investment, assigned actions, owners, or deadlines.</w:t>
      </w:r>
    </w:p>
    <w:p>
      <w:pPr>
        <w:pStyle w:val="Heading2"/>
      </w:pPr>
      <w:r>
        <w:t>14 3 Issues still open</w:t>
      </w:r>
    </w:p>
    <w:p>
      <w:pPr>
        <w:pStyle w:val="ListBullet"/>
      </w:pPr>
      <w:r>
        <w:t>The final core architecture and selection or compromise among AI approaches.</w:t>
      </w:r>
    </w:p>
    <w:p>
      <w:pPr>
        <w:pStyle w:val="ListBullet"/>
      </w:pPr>
      <w:r>
        <w:t>Permitted migration pathways beyond the described MRSS baseline.</w:t>
      </w:r>
    </w:p>
    <w:p>
      <w:pPr>
        <w:pStyle w:val="ListBullet"/>
      </w:pPr>
      <w:r>
        <w:t>Spectrum availability and international harmonization.</w:t>
      </w:r>
    </w:p>
    <w:p>
      <w:pPr>
        <w:pStyle w:val="ListBullet"/>
      </w:pPr>
      <w:r>
        <w:t>Validation of forecasts on overhead, uplink demand, investment, and patents.</w:t>
      </w:r>
    </w:p>
    <w:p>
      <w:pPr>
        <w:pStyle w:val="ListBullet"/>
      </w:pPr>
      <w:r>
        <w:t>API design, AI placement, and operating controls.</w:t>
      </w:r>
    </w:p>
    <w:p>
      <w:pPr>
        <w:pStyle w:val="ListBullet"/>
      </w:pPr>
      <w:r>
        <w:t>Paying customers, service economics, and measurable ISAC value.</w:t>
      </w:r>
    </w:p>
    <w:p>
      <w:pPr>
        <w:pStyle w:val="ListBullet"/>
      </w:pPr>
      <w:r>
        <w:t>The possibility and consequences of fragmented standards.</w:t>
      </w:r>
    </w:p>
    <w:p>
      <w:pPr>
        <w:pStyle w:val="Heading1"/>
      </w:pPr>
      <w:r>
        <w:t>15 Suggested follow ups</w:t>
      </w:r>
    </w:p>
    <w:p>
      <w:r>
        <w:t>These items are derived for review and were not assigned during the session.</w:t>
      </w:r>
    </w:p>
    <w:tbl>
      <w:tblPr>
        <w:tblW w:type="auto" w:w="0"/>
        <w:tblLayout w:type="fixed"/>
        <w:tblLook w:firstColumn="1" w:firstRow="1" w:lastColumn="0" w:lastRow="0" w:noHBand="0" w:noVBand="1" w:val="04A0"/>
      </w:tblPr>
      <w:tblGrid>
        <w:gridCol w:w="3888"/>
        <w:gridCol w:w="6048"/>
      </w:tblGrid>
      <w:tr>
        <w:trPr>
          <w:tblHeader/>
        </w:trPr>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Suggested item</w:t>
            </w:r>
          </w:p>
        </w:tc>
        <w:tc>
          <w:tcPr>
            <w:tcW w:type="dxa" w:w="4968"/>
            <w:tcBorders>
              <w:top w:val="single" w:sz="4" w:color="D9D9D9"/>
              <w:left w:val="single" w:sz="4" w:color="D9D9D9"/>
              <w:bottom w:val="single" w:sz="4" w:color="D9D9D9"/>
              <w:right w:val="single" w:sz="4" w:color="D9D9D9"/>
            </w:tcBorders>
            <w:shd w:fill="E6EBF0"/>
            <w:tcMar>
              <w:top w:w="90" w:type="dxa"/>
              <w:left w:w="90" w:type="dxa"/>
              <w:bottom w:w="90" w:type="dxa"/>
              <w:right w:w="90" w:type="dxa"/>
            </w:tcMar>
          </w:tcPr>
          <w:p>
            <w:pPr>
              <w:spacing w:after="60"/>
            </w:pPr>
            <w:r>
              <w:rPr>
                <w:b/>
                <w:sz w:val="20"/>
              </w:rPr>
              <w:t>Purpose</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Confirm names and segment boundaries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Identify the opening analyst and the interview speaker, including affiliations and date</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Obtain referenced slides and datasets</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Validate spectrum tables, expenditure figures, patents, and timeline claims</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Check standards and regulatory status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Confirm waveform and coding statements, MRSS status, migration options, and spectrum discussion</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Assess core architecture alternatives</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Compare reuse, a separate AI domain, enhanced functions, and agent integration</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Characterize uplink requirements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Measure application traffic and evaluate coverage, latency, decoupling, receivers, and scheduling</w:t>
            </w:r>
          </w:p>
        </w:tc>
      </w:tr>
      <w:tr>
        <w:trPr/>
        <w:tc>
          <w:tcPr>
            <w:tcW w:type="dxa" w:w="388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Define API and sensing propositions</w:t>
            </w:r>
          </w:p>
        </w:tc>
        <w:tc>
          <w:tcPr>
            <w:tcW w:type="dxa" w:w="6048"/>
            <w:tcBorders>
              <w:top w:val="single" w:sz="4" w:color="D9D9D9"/>
              <w:left w:val="single" w:sz="4" w:color="D9D9D9"/>
              <w:bottom w:val="single" w:sz="4" w:color="D9D9D9"/>
              <w:right w:val="single" w:sz="4" w:color="D9D9D9"/>
            </w:tcBorders>
            <w:shd w:fill="F5F5F5"/>
            <w:tcMar>
              <w:top w:w="90" w:type="dxa"/>
              <w:left w:w="90" w:type="dxa"/>
              <w:bottom w:w="90" w:type="dxa"/>
              <w:right w:w="90" w:type="dxa"/>
            </w:tcMar>
          </w:tcPr>
          <w:p>
            <w:pPr>
              <w:spacing w:after="60"/>
            </w:pPr>
            <w:r>
              <w:rPr>
                <w:b w:val="0"/>
                <w:sz w:val="20"/>
              </w:rPr>
              <w:t>Identify the capability, customer, measurable outcome, and willingness to pay</w:t>
            </w:r>
          </w:p>
        </w:tc>
      </w:tr>
      <w:tr>
        <w:trPr/>
        <w:tc>
          <w:tcPr>
            <w:tcW w:type="dxa" w:w="388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Align ecosystem and readiness dependencies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b w:val="0"/>
                <w:sz w:val="20"/>
              </w:rPr>
              <w:t>Coordinate infrastructure, spectrum, devices, applications, and operating requirements</w:t>
            </w:r>
          </w:p>
        </w:tc>
      </w:tr>
    </w:tbl>
    <w:p/>
    <w:p>
      <w:pPr>
        <w:pStyle w:val="Heading1"/>
      </w:pPr>
      <w:r>
        <w:t>16 Abbreviations</w:t>
      </w:r>
    </w:p>
    <w:p>
      <w:r>
        <w:t>AI — Artificial intelligence; 3GPP — 3rd Generation Partnership Project; ITU-R — ITU Radiocommunication Sector; IMT — International Mobile Telecommunications; OFDM — Orthogonal Frequency Division Multiplexing; CP-OFDM — Cyclic Prefix OFDM; DFT-s-OFDM — Discrete Fourier Transform Spread OFDM; SC-FDMA — Single Carrier Frequency Division Multiple Access; MRSS — Multi RAT Spectrum Sharing; RAT — Radio Access Technology; AMF — Access and Mobility Management Function; ISAC — Integrated Sensing and Communications; RAN — Radio Access Network; FDD — Frequency Division Duplex; TDD — Time Division Duplex; API — Application Programming Interface; QoS — Quality of Service; KPI — Key Performance Indicator; WRC — World Radiocommunication Conference; CSP — Communications Service Provider; R&amp;D — Research and Development.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6G Vision Detailed Minutes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