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 of the Art Channel Modeling</w:t>
      </w:r>
    </w:p>
    <w:p>
      <w:r>
        <w:t>Detailed technical discussion minutes</w:t>
      </w:r>
    </w:p>
    <w:p>
      <w:r>
        <w:t>The discussion examined how channel modeling and RF digital twins can support validation of emerging 6G systems, particularly integrated sensing and communication. The speaker recommended combining standardized statistical models, site specific modeling, channel emulation, and field measurements according to the engineering question. The central objective is to make testing more repeatable and informative while retaining measurements to establish model credibility and verify real world behavior.</w:t>
      </w:r>
    </w:p>
    <w:p>
      <w:r>
        <w:t>Date and venue: Not stated in the transcript. Format: Technical interview supported by slides. Interviewer: Nelson, surname and role not stated. Speaker: Osman, surname unclear; introduced as an R&amp;D manager and solution architect for RF digital twin solutions. Keysight is mentioned in the final question, but the excerpt does not contain a complete affiliation statement. Slides were referenced but were not included in the supplied document.</w:t>
      </w:r>
    </w:p>
    <w:p>
      <w:r>
        <w:t>Source note: These minutes summarize the supplied transcript. Obvious technical speech recognition errors have been normalized where their meaning is clear. The transcript ends with a question about Keysight’s contribution; no response to that question is available.</w:t>
      </w:r>
    </w:p>
    <w:p>
      <w:pPr>
        <w:pStyle w:val="Heading1"/>
      </w:pPr>
      <w:r>
        <w:t>Key discussion outcomes</w:t>
      </w:r>
    </w:p>
    <w:p>
      <w:pPr>
        <w:pStyle w:val="ListBullet"/>
      </w:pPr>
      <w:r>
        <w:t>Existing clustered and tapped delay line statistical models remain useful for repeatable comparisons and benchmarking.</w:t>
      </w:r>
    </w:p>
    <w:p>
      <w:pPr>
        <w:pStyle w:val="ListBullet"/>
      </w:pPr>
      <w:r>
        <w:t>Emerging 6G functions require additional attention to specific locations, obstructions, moving targets, large antenna arrays, and channel dependent decisions.</w:t>
      </w:r>
    </w:p>
    <w:p>
      <w:pPr>
        <w:pStyle w:val="ListBullet"/>
      </w:pPr>
      <w:r>
        <w:t>Site specific RF digital twins complement statistical models by representing actual or planned environments and deployments.</w:t>
      </w:r>
    </w:p>
    <w:p>
      <w:pPr>
        <w:pStyle w:val="ListBullet"/>
      </w:pPr>
      <w:r>
        <w:t>ISAC modeling must reproduce both useful target reflections and background multipath and clutter with consistent geometry and time evolution.</w:t>
      </w:r>
    </w:p>
    <w:p>
      <w:pPr>
        <w:pStyle w:val="ListBullet"/>
      </w:pPr>
      <w:r>
        <w:t>Software in the loop and hardware in the loop should share scenario definitions and channel conditions to support continuity from algorithms to real devices.</w:t>
      </w:r>
    </w:p>
    <w:p>
      <w:pPr>
        <w:pStyle w:val="ListBullet"/>
      </w:pPr>
      <w:r>
        <w:t>Validated digital twins can reduce repeated exploratory field trials, but measurements remain essential for parameterization, model validation, and final system checks.</w:t>
      </w:r>
    </w:p>
    <w:p>
      <w:pPr>
        <w:pStyle w:val="Heading1"/>
      </w:pPr>
      <w:r>
        <w:t>Why channel modeling requirements are changing</w:t>
      </w:r>
    </w:p>
    <w:p>
      <w:r>
        <w:t>Nelson opened by asking whether statistical channel models used for 4G and 5G remain sufficient for new 6G use cases such as ISAC. He referenced clustered delay line, or CDL, and tapped delay line, or TDL, models as established laboratory tools.</w:t>
      </w:r>
    </w:p>
    <w:p>
      <w:r>
        <w:t>Osman said existing methods remain valuable, but evolving systems change what must be validated. He cited radios that sense their surroundings, extremely large antenna arrays, coordination across technologies, and AI driven decisions that depend on channel behavior. Average statistical performance may not adequately describe operation at a particular location, behind an obstruction, or in the presence of a moving target.</w:t>
      </w:r>
    </w:p>
    <w:p>
      <w:r>
        <w:t>The proposed response is to complement current models with site specific modeling, measurements, and hardware based channel emulation. The analogy used was autonomous vehicle testing: a generic traffic model is useful, but specific roads, obstacles, and moving objects also need to be investigated.</w:t>
      </w:r>
    </w:p>
    <w:p>
      <w:pPr>
        <w:pStyle w:val="Heading1"/>
      </w:pPr>
      <w:r>
        <w:t>Channel models and selection of modeling fidelity</w:t>
      </w:r>
    </w:p>
    <w:p>
      <w:pPr>
        <w:pStyle w:val="Heading2"/>
      </w:pPr>
      <w:r>
        <w:t>What a channel model represents</w:t>
      </w:r>
    </w:p>
    <w:p>
      <w:r>
        <w:t>Osman defined a channel model as a controlled representation of a radio environment and radio propagation within it. It describes how the physical world affects a transmitted signal through reflection, diffraction, penetration, scattering, blockage, and Doppler effects.</w:t>
      </w:r>
    </w:p>
    <w:p>
      <w:r>
        <w:t>These propagation effects influence coverage, interference, beamforming, MIMO performance, throughput, and sensing accuracy. Modeling therefore provides a controlled means of examining system behavior before or alongside deployment.</w:t>
      </w:r>
    </w:p>
    <w:p>
      <w:pPr>
        <w:pStyle w:val="Heading2"/>
      </w:pPr>
      <w:r>
        <w:t>Fit the model to the engineering question</w:t>
      </w:r>
    </w:p>
    <w:p>
      <w:r>
        <w:t>The speaker emphasized that more detail is not automatically better. Required fidelity should match the validation purpose and evaluation KPI. A standardized model is appropriate for comparing performance across a broad class of conditions, while a site specific model is more appropriate for recreating a particular deployment.</w:t>
      </w:r>
    </w:p>
    <w:p>
      <w:r>
        <w:t>The discussion framed stochastic and site specific methods as tools that answer different questions rather than competing approaches in which one must replace the other.</w:t>
      </w:r>
    </w:p>
    <w:tbl>
      <w:tblPr>
        <w:tblW w:type="auto" w:w="0"/>
        <w:tblLayout w:type="fixed"/>
        <w:tblLook w:firstColumn="1" w:firstRow="1" w:lastColumn="0" w:lastRow="0" w:noHBand="0" w:noVBand="1" w:val="04A0"/>
      </w:tblPr>
      <w:tblGrid>
        <w:gridCol w:w="2232"/>
        <w:gridCol w:w="3816"/>
        <w:gridCol w:w="3888"/>
      </w:tblGrid>
      <w:tr>
        <w:trPr>
          <w:tblHeader/>
          <w:cantSplit/>
        </w:trPr>
        <w:tc>
          <w:tcPr>
            <w:tcW w:type="dxa" w:w="3312"/>
            <w:vAlign w:val="center"/>
            <w:tcBorders>
              <w:top w:val="single" w:sz="4" w:color="D9D9D9"/>
              <w:left w:val="single" w:sz="4" w:color="D9D9D9"/>
              <w:bottom w:val="single" w:sz="4" w:color="D9D9D9"/>
              <w:right w:val="single" w:sz="4" w:color="D9D9D9"/>
            </w:tcBorders>
            <w:shd w:fill="E7EDF3"/>
          </w:tcPr>
          <w:p>
            <w:pPr>
              <w:spacing w:after="100" w:before="100"/>
            </w:pPr>
            <w:r>
              <w:rPr>
                <w:b/>
                <w:sz w:val="20"/>
              </w:rPr>
              <w:t>Approach</w:t>
            </w:r>
          </w:p>
        </w:tc>
        <w:tc>
          <w:tcPr>
            <w:tcW w:type="dxa" w:w="3312"/>
            <w:vAlign w:val="center"/>
            <w:tcBorders>
              <w:top w:val="single" w:sz="4" w:color="D9D9D9"/>
              <w:left w:val="single" w:sz="4" w:color="D9D9D9"/>
              <w:bottom w:val="single" w:sz="4" w:color="D9D9D9"/>
              <w:right w:val="single" w:sz="4" w:color="D9D9D9"/>
            </w:tcBorders>
            <w:shd w:fill="E7EDF3"/>
          </w:tcPr>
          <w:p>
            <w:pPr>
              <w:spacing w:after="100" w:before="100"/>
            </w:pPr>
            <w:r>
              <w:rPr>
                <w:b/>
                <w:sz w:val="20"/>
              </w:rPr>
              <w:t>Representation</w:t>
            </w:r>
          </w:p>
        </w:tc>
        <w:tc>
          <w:tcPr>
            <w:tcW w:type="dxa" w:w="3312"/>
            <w:vAlign w:val="center"/>
            <w:tcBorders>
              <w:top w:val="single" w:sz="4" w:color="D9D9D9"/>
              <w:left w:val="single" w:sz="4" w:color="D9D9D9"/>
              <w:bottom w:val="single" w:sz="4" w:color="D9D9D9"/>
              <w:right w:val="single" w:sz="4" w:color="D9D9D9"/>
            </w:tcBorders>
            <w:shd w:fill="E7EDF3"/>
          </w:tcPr>
          <w:p>
            <w:pPr>
              <w:spacing w:after="100" w:before="100"/>
            </w:pPr>
            <w:r>
              <w:rPr>
                <w:b/>
                <w:sz w:val="20"/>
              </w:rPr>
              <w:t>Appropriate uses</w:t>
            </w:r>
          </w:p>
        </w:tc>
      </w:tr>
      <w:tr>
        <w:trPr>
          <w:cantSplit/>
        </w:trPr>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Standardized stochastic model</w:t>
            </w:r>
          </w:p>
        </w:tc>
        <w:tc>
          <w:tcPr>
            <w:tcW w:type="dxa" w:w="38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A class of propagation environments described by statistically defined channel characteristics.</w:t>
            </w:r>
          </w:p>
        </w:tc>
        <w:tc>
          <w:tcPr>
            <w:tcW w:type="dxa" w:w="388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Standardized benchmarking, Monte Carlo studies, system level evaluation, and reproducible comparisons.</w:t>
            </w:r>
          </w:p>
        </w:tc>
      </w:tr>
      <w:tr>
        <w:trPr>
          <w:cantSplit/>
        </w:trPr>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Site specific RF digital twin</w:t>
            </w:r>
          </w:p>
        </w:tc>
        <w:tc>
          <w:tcPr>
            <w:tcW w:type="dxa" w:w="38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A particular environment and deployment using geometry, materials, infrastructure, antenna configuration, and user mobility.</w:t>
            </w:r>
          </w:p>
        </w:tc>
        <w:tc>
          <w:tcPr>
            <w:tcW w:type="dxa" w:w="388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Location dependent performance, obstructions, planned deployment evaluation, and realistic sensing scenarios.</w:t>
            </w:r>
          </w:p>
        </w:tc>
      </w:tr>
      <w:tr>
        <w:trPr>
          <w:cantSplit/>
        </w:trPr>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Channel emulation</w:t>
            </w:r>
          </w:p>
        </w:tc>
        <w:tc>
          <w:tcPr>
            <w:tcW w:type="dxa" w:w="38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Controlled recreation of channel conditions around real RF hardware.</w:t>
            </w:r>
          </w:p>
        </w:tc>
        <w:tc>
          <w:tcPr>
            <w:tcW w:type="dxa" w:w="388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Repeatable device, base station, chipset, and sensing receiver validation.</w:t>
            </w:r>
          </w:p>
        </w:tc>
      </w:tr>
      <w:tr>
        <w:trPr>
          <w:cantSplit/>
        </w:trPr>
        <w:tc>
          <w:tcPr>
            <w:tcW w:type="dxa" w:w="223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Field measurements</w:t>
            </w:r>
          </w:p>
        </w:tc>
        <w:tc>
          <w:tcPr>
            <w:tcW w:type="dxa" w:w="38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Observed behavior in a physical environment.</w:t>
            </w:r>
          </w:p>
        </w:tc>
        <w:tc>
          <w:tcPr>
            <w:tcW w:type="dxa" w:w="388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Model parameterization, validation, confidence building, and final system verification.</w:t>
            </w:r>
          </w:p>
        </w:tc>
      </w:tr>
    </w:tbl>
    <w:p>
      <w:pPr>
        <w:pStyle w:val="Heading2"/>
      </w:pPr>
      <w:r>
        <w:t>Ray tracing and site specific inputs</w:t>
      </w:r>
    </w:p>
    <w:p>
      <w:r>
        <w:t>Ray tracing was discussed as a method for building a site specific RF digital twin. The model can incorporate actual or planned geometry, material properties, infrastructure, antenna arrangements, and motion. These inputs enable analysis of expected system performance in a defined environment.</w:t>
      </w:r>
    </w:p>
    <w:p>
      <w:r>
        <w:t>The speaker compared a standardized stochastic model to a test track and an RF digital twin to a virtual representation of the environment where a system will operate. Model selection should follow the validation objective, with combinations used where useful.</w:t>
      </w:r>
    </w:p>
    <w:p>
      <w:pPr>
        <w:pStyle w:val="Heading1"/>
      </w:pPr>
      <w:r>
        <w:t>Why ISAC channel modeling is harder</w:t>
      </w:r>
    </w:p>
    <w:p>
      <w:pPr>
        <w:pStyle w:val="Heading2"/>
      </w:pPr>
      <w:r>
        <w:t>Communications paths and sensing paths</w:t>
      </w:r>
    </w:p>
    <w:p>
      <w:r>
        <w:t>Osman explained that conventional communications modeling primarily assesses how propagation affects reliable information transfer between endpoints. In ISAC, multipath also conveys information about objects, their movement, and the surrounding environment. The same environment must therefore support evaluation of both communications and sensing.</w:t>
      </w:r>
    </w:p>
    <w:p>
      <w:r>
        <w:t>A realistic scenario should combine target related sensing paths, background multipath, clutter, and the communication channel. Relevant information may include radar cross section, path delay, direction, Doppler, micro Doppler, antenna behavior, mobility, and target dynamics.</w:t>
      </w:r>
    </w:p>
    <w:p>
      <w:pPr>
        <w:pStyle w:val="Heading2"/>
      </w:pPr>
      <w:r>
        <w:t>Physical and temporal consistency</w:t>
      </w:r>
    </w:p>
    <w:p>
      <w:r>
        <w:t>The challenge is not merely to generate individual effects but to keep them physically and temporally consistent as transmitters, receivers, targets, and environmental features change relative to one another. Inconsistent models can make a sensing algorithm appear unrealistically effective.</w:t>
      </w:r>
    </w:p>
    <w:p>
      <w:r>
        <w:t>The speaker used the example of holding a conversation in a large hall while using echoes to locate a moving object. Both the information carrying signal and the echoes must be represented credibly. Simplifying away difficult reflections or clutter can give misleading sensing results.</w:t>
      </w:r>
    </w:p>
    <w:p>
      <w:pPr>
        <w:pStyle w:val="Heading2"/>
      </w:pPr>
      <w:r>
        <w:t>Joint validation metrics</w:t>
      </w:r>
    </w:p>
    <w:p>
      <w:r>
        <w:t>ISAC validation is multidimensional. Communications metrics such as throughput, block error rate, and signal to interference plus noise ratio must be considered alongside sensing metrics such as detection probability, range accuracy, velocity accuracy, angle accuracy, and tracking performance. These were examples of relevant metrics, not agreed acceptance thresholds.</w:t>
      </w:r>
    </w:p>
    <w:tbl>
      <w:tblPr>
        <w:tblW w:type="auto" w:w="0"/>
        <w:tblLayout w:type="fixed"/>
        <w:tblLook w:firstColumn="1" w:firstRow="1" w:lastColumn="0" w:lastRow="0" w:noHBand="0" w:noVBand="1" w:val="04A0"/>
      </w:tblPr>
      <w:tblGrid>
        <w:gridCol w:w="2880"/>
        <w:gridCol w:w="7056"/>
      </w:tblGrid>
      <w:tr>
        <w:trPr>
          <w:tblHeader/>
          <w:cantSplit/>
        </w:trPr>
        <w:tc>
          <w:tcPr>
            <w:tcW w:type="dxa" w:w="4968"/>
            <w:vAlign w:val="center"/>
            <w:tcBorders>
              <w:top w:val="single" w:sz="4" w:color="D9D9D9"/>
              <w:left w:val="single" w:sz="4" w:color="D9D9D9"/>
              <w:bottom w:val="single" w:sz="4" w:color="D9D9D9"/>
              <w:right w:val="single" w:sz="4" w:color="D9D9D9"/>
            </w:tcBorders>
            <w:shd w:fill="E7EDF3"/>
          </w:tcPr>
          <w:p>
            <w:pPr>
              <w:spacing w:after="100" w:before="100"/>
            </w:pPr>
            <w:r>
              <w:rPr>
                <w:b/>
                <w:sz w:val="20"/>
              </w:rPr>
              <w:t>Modeling element</w:t>
            </w:r>
          </w:p>
        </w:tc>
        <w:tc>
          <w:tcPr>
            <w:tcW w:type="dxa" w:w="4968"/>
            <w:vAlign w:val="center"/>
            <w:tcBorders>
              <w:top w:val="single" w:sz="4" w:color="D9D9D9"/>
              <w:left w:val="single" w:sz="4" w:color="D9D9D9"/>
              <w:bottom w:val="single" w:sz="4" w:color="D9D9D9"/>
              <w:right w:val="single" w:sz="4" w:color="D9D9D9"/>
            </w:tcBorders>
            <w:shd w:fill="E7EDF3"/>
          </w:tcPr>
          <w:p>
            <w:pPr>
              <w:spacing w:after="100" w:before="100"/>
            </w:pPr>
            <w:r>
              <w:rPr>
                <w:b/>
                <w:sz w:val="20"/>
              </w:rPr>
              <w:t>Why it matters for ISAC</w:t>
            </w:r>
          </w:p>
        </w:tc>
      </w:tr>
      <w:tr>
        <w:trPr>
          <w:cantSplit/>
        </w:trPr>
        <w:tc>
          <w:tcPr>
            <w:tcW w:type="dxa" w:w="288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Target reflection and radar cross section</w:t>
            </w:r>
          </w:p>
        </w:tc>
        <w:tc>
          <w:tcPr>
            <w:tcW w:type="dxa" w:w="705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Determine the strength and behavior of the useful sensing return.</w:t>
            </w:r>
          </w:p>
        </w:tc>
      </w:tr>
      <w:tr>
        <w:trPr>
          <w:cantSplit/>
        </w:trPr>
        <w:tc>
          <w:tcPr>
            <w:tcW w:type="dxa" w:w="288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Background multipath and clutter</w:t>
            </w:r>
          </w:p>
        </w:tc>
        <w:tc>
          <w:tcPr>
            <w:tcW w:type="dxa" w:w="705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Represent competing reflections that can affect detection and estimation.</w:t>
            </w:r>
          </w:p>
        </w:tc>
      </w:tr>
      <w:tr>
        <w:trPr>
          <w:cantSplit/>
        </w:trPr>
        <w:tc>
          <w:tcPr>
            <w:tcW w:type="dxa" w:w="288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Delay and direction</w:t>
            </w:r>
          </w:p>
        </w:tc>
        <w:tc>
          <w:tcPr>
            <w:tcW w:type="dxa" w:w="705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Support evaluation of range and angular inference.</w:t>
            </w:r>
          </w:p>
        </w:tc>
      </w:tr>
      <w:tr>
        <w:trPr>
          <w:cantSplit/>
        </w:trPr>
        <w:tc>
          <w:tcPr>
            <w:tcW w:type="dxa" w:w="288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Doppler and micro Doppler</w:t>
            </w:r>
          </w:p>
        </w:tc>
        <w:tc>
          <w:tcPr>
            <w:tcW w:type="dxa" w:w="705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Represent motion information and time varying target effects.</w:t>
            </w:r>
          </w:p>
        </w:tc>
      </w:tr>
      <w:tr>
        <w:trPr>
          <w:cantSplit/>
        </w:trPr>
        <w:tc>
          <w:tcPr>
            <w:tcW w:type="dxa" w:w="288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Antenna configuration and mobility</w:t>
            </w:r>
          </w:p>
        </w:tc>
        <w:tc>
          <w:tcPr>
            <w:tcW w:type="dxa" w:w="705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Influence how paths are illuminated, received, and tracked over time.</w:t>
            </w:r>
          </w:p>
        </w:tc>
      </w:tr>
      <w:tr>
        <w:trPr>
          <w:cantSplit/>
        </w:trPr>
        <w:tc>
          <w:tcPr>
            <w:tcW w:type="dxa" w:w="288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Consistent scene evolution</w:t>
            </w:r>
          </w:p>
        </w:tc>
        <w:tc>
          <w:tcPr>
            <w:tcW w:type="dxa" w:w="705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Keeps sensing and communications conditions coherent as the scenario changes.</w:t>
            </w:r>
          </w:p>
        </w:tc>
      </w:tr>
    </w:tbl>
    <w:p>
      <w:pPr>
        <w:pStyle w:val="Heading1"/>
      </w:pPr>
      <w:r>
        <w:t>Using digital twin output in the laboratory</w:t>
      </w:r>
    </w:p>
    <w:p>
      <w:pPr>
        <w:pStyle w:val="Heading2"/>
      </w:pPr>
      <w:r>
        <w:t>Software in the loop</w:t>
      </w:r>
    </w:p>
    <w:p>
      <w:r>
        <w:t>Nelson asked how channel data from a modeled scene can support actionable laboratory decisions. Osman said software in the loop enables evaluation of algorithms, architecture, and system behavior before complete hardware is available.</w:t>
      </w:r>
    </w:p>
    <w:p>
      <w:r>
        <w:t>Nelson elaborated that channel impulse responses generated in a virtual environment can be used in software based system or network simulators. Engineers can develop and compare algorithms under those conditions before deploying them to hardware. Osman agreed with this description.</w:t>
      </w:r>
    </w:p>
    <w:p>
      <w:pPr>
        <w:pStyle w:val="Heading2"/>
      </w:pPr>
      <w:r>
        <w:t>Hardware in the loop</w:t>
      </w:r>
    </w:p>
    <w:p>
      <w:r>
        <w:t>Hardware in the loop introduces real devices, base stations, chipsets, or sensing receivers. A channel emulator supplies controlled and repeatable RF propagation conditions around the hardware. This allows the engineering team to evaluate an implementation against a defined environment in the laboratory.</w:t>
      </w:r>
    </w:p>
    <w:p>
      <w:r>
        <w:t>The speaker described software in the loop as a virtual rehearsal and hardware in the loop as bringing actual hardware onto the same virtual stage. The value lies in maintaining continuity of scenarios rather than conducting disconnected simulations and hardware tests.</w:t>
      </w:r>
    </w:p>
    <w:p>
      <w:pPr>
        <w:pStyle w:val="Heading2"/>
      </w:pPr>
      <w:r>
        <w:t>Continuity across the validation workflow</w:t>
      </w:r>
    </w:p>
    <w:p>
      <w:r>
        <w:t>The workflow discussed begins with defining the scenario and constructing the RF digital twin. Channel data then supports software evaluation and RF emulation of comparable conditions. Real hardware is tested, and measurements are used to benchmark or validate the modeled behavior. Measurement feedback can refine the model and increase confidence in subsequent testing.</w:t>
      </w:r>
    </w:p>
    <w:p>
      <w:r>
        <w:t>No tool interface, channel data format, emulator configuration, supported bandwidth, antenna count, or implementation procedure was specified. The discussion explained the workflow at a conceptual level.</w:t>
      </w:r>
    </w:p>
    <w:p>
      <w:pPr>
        <w:pStyle w:val="Heading1"/>
      </w:pPr>
      <w:r>
        <w:t>Field measurement and development efficiency</w:t>
      </w:r>
    </w:p>
    <w:p>
      <w:pPr>
        <w:pStyle w:val="Heading2"/>
      </w:pPr>
      <w:r>
        <w:t>Limits of repeated field trials</w:t>
      </w:r>
    </w:p>
    <w:p>
      <w:r>
        <w:t>Osman said field trials remain essential but can be expensive, difficult to repeat, and constrained by access, weather, hardware availability, and changes in the environment. Target movement, blockage, traffic, and interference can be particularly difficult to reproduce under identical conditions.</w:t>
      </w:r>
    </w:p>
    <w:p>
      <w:r>
        <w:t>A validated digital twin and emulation workflow allows more conditions to be explored earlier, failures to be reproduced, and different algorithm or implementation versions to be compared under the same channel conditions. Difficult scenarios can be investigated systematically in the laboratory.</w:t>
      </w:r>
    </w:p>
    <w:p>
      <w:pPr>
        <w:pStyle w:val="Heading2"/>
      </w:pPr>
      <w:r>
        <w:t>How measurements establish confidence</w:t>
      </w:r>
    </w:p>
    <w:p>
      <w:r>
        <w:t>Measurements help parameterize and validate models, establish confidence in their representation of physical behavior, and verify the final system. Rather than repeatedly discovering problems late in field testing, teams can use field work to confirm and refine behavior already studied under controlled conditions.</w:t>
      </w:r>
    </w:p>
    <w:p>
      <w:r>
        <w:t>Nelson restated the need to validate the digital twin against field observations so that repeated laboratory scenarios represent physical propagation credibly. Osman agreed. The discussion did not provide validation error values, uncertainty bounds, a calibration method, or proof that a particular model has achieved a specified accuracy.</w:t>
      </w:r>
    </w:p>
    <w:p>
      <w:pPr>
        <w:pStyle w:val="Heading2"/>
      </w:pPr>
      <w:r>
        <w:t>Expected benefits for commercialization</w:t>
      </w:r>
    </w:p>
    <w:p>
      <w:r>
        <w:t>The speaker identified earlier design decisions, continuous regression testing, controlled comparisons of competing approaches, and increased confidence before deployment as practical benefits. The objective is to use reality more efficiently rather than replace it.</w:t>
      </w:r>
    </w:p>
    <w:p>
      <w:r>
        <w:t>The analogy was a wind tunnel: it does not eliminate flight testing but helps make it more focused and informative. Similarly, digital twins and emulation can reduce dependence on repeated exploratory field trials while preserving essential real world verification.</w:t>
      </w:r>
    </w:p>
    <w:p>
      <w:r>
        <w:t>The interviewer mentioned a possible historical 4G development period of eight to ten years while asking about development cycles. No substantiation or quantified comparison was provided. The panel did not measure a reduction in 6G development time, test cost, or number of field trials.</w:t>
      </w:r>
    </w:p>
    <w:p>
      <w:pPr>
        <w:pStyle w:val="Heading1"/>
      </w:pPr>
      <w:r>
        <w:t>Decisions open items and suggested follow up</w:t>
      </w:r>
    </w:p>
    <w:p>
      <w:r>
        <w:t>No formal decisions, assigned owners, deadlines, procurement selections, or test acceptance criteria were recorded. The final question asked how Keysight is helping customers address 6G use cases, but the response is absent. No product specific capability or commitment has been inferred.</w:t>
      </w:r>
    </w:p>
    <w:p>
      <w:r>
        <w:t>The following follow up items are editorial suggestions derived from the discussion, not assigned meeting actions.</w:t>
      </w:r>
    </w:p>
    <w:tbl>
      <w:tblPr>
        <w:tblW w:type="auto" w:w="0"/>
        <w:tblLayout w:type="fixed"/>
        <w:tblLook w:firstColumn="1" w:firstRow="1" w:lastColumn="0" w:lastRow="0" w:noHBand="0" w:noVBand="1" w:val="04A0"/>
      </w:tblPr>
      <w:tblGrid>
        <w:gridCol w:w="2592"/>
        <w:gridCol w:w="5328"/>
        <w:gridCol w:w="2016"/>
      </w:tblGrid>
      <w:tr>
        <w:trPr>
          <w:tblHeader/>
          <w:cantSplit/>
        </w:trPr>
        <w:tc>
          <w:tcPr>
            <w:tcW w:type="dxa" w:w="3312"/>
            <w:vAlign w:val="center"/>
            <w:tcBorders>
              <w:top w:val="single" w:sz="4" w:color="D9D9D9"/>
              <w:left w:val="single" w:sz="4" w:color="D9D9D9"/>
              <w:bottom w:val="single" w:sz="4" w:color="D9D9D9"/>
              <w:right w:val="single" w:sz="4" w:color="D9D9D9"/>
            </w:tcBorders>
            <w:shd w:fill="E7EDF3"/>
          </w:tcPr>
          <w:p>
            <w:pPr>
              <w:spacing w:after="100" w:before="100"/>
            </w:pPr>
            <w:r>
              <w:rPr>
                <w:b/>
                <w:sz w:val="20"/>
              </w:rPr>
              <w:t>Suggested follow up</w:t>
            </w:r>
          </w:p>
        </w:tc>
        <w:tc>
          <w:tcPr>
            <w:tcW w:type="dxa" w:w="3312"/>
            <w:vAlign w:val="center"/>
            <w:tcBorders>
              <w:top w:val="single" w:sz="4" w:color="D9D9D9"/>
              <w:left w:val="single" w:sz="4" w:color="D9D9D9"/>
              <w:bottom w:val="single" w:sz="4" w:color="D9D9D9"/>
              <w:right w:val="single" w:sz="4" w:color="D9D9D9"/>
            </w:tcBorders>
            <w:shd w:fill="E7EDF3"/>
          </w:tcPr>
          <w:p>
            <w:pPr>
              <w:spacing w:after="100" w:before="100"/>
            </w:pPr>
            <w:r>
              <w:rPr>
                <w:b/>
                <w:sz w:val="20"/>
              </w:rPr>
              <w:t>Intended result</w:t>
            </w:r>
          </w:p>
        </w:tc>
        <w:tc>
          <w:tcPr>
            <w:tcW w:type="dxa" w:w="3312"/>
            <w:vAlign w:val="center"/>
            <w:tcBorders>
              <w:top w:val="single" w:sz="4" w:color="D9D9D9"/>
              <w:left w:val="single" w:sz="4" w:color="D9D9D9"/>
              <w:bottom w:val="single" w:sz="4" w:color="D9D9D9"/>
              <w:right w:val="single" w:sz="4" w:color="D9D9D9"/>
            </w:tcBorders>
            <w:shd w:fill="E7EDF3"/>
          </w:tcPr>
          <w:p>
            <w:pPr>
              <w:spacing w:after="100" w:before="100"/>
            </w:pPr>
            <w:r>
              <w:rPr>
                <w:b/>
                <w:sz w:val="20"/>
              </w:rPr>
              <w:t>Owner and due date</w:t>
            </w:r>
          </w:p>
        </w:tc>
      </w:tr>
      <w:tr>
        <w:trPr>
          <w:cantSplit/>
        </w:trPr>
        <w:tc>
          <w:tcPr>
            <w:tcW w:type="dxa" w:w="259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Define validation objectives</w:t>
            </w:r>
          </w:p>
        </w:tc>
        <w:tc>
          <w:tcPr>
            <w:tcW w:type="dxa" w:w="532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Choose communications and sensing KPIs and the required model fidelity.</w:t>
            </w:r>
          </w:p>
        </w:tc>
        <w:tc>
          <w:tcPr>
            <w:tcW w:type="dxa" w:w="20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Not assigned</w:t>
            </w:r>
          </w:p>
        </w:tc>
      </w:tr>
      <w:tr>
        <w:trPr>
          <w:cantSplit/>
        </w:trPr>
        <w:tc>
          <w:tcPr>
            <w:tcW w:type="dxa" w:w="259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Select representative scenes</w:t>
            </w:r>
          </w:p>
        </w:tc>
        <w:tc>
          <w:tcPr>
            <w:tcW w:type="dxa" w:w="532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Identify geometry, materials, antenna configurations, obstruction, and motion conditions.</w:t>
            </w:r>
          </w:p>
        </w:tc>
        <w:tc>
          <w:tcPr>
            <w:tcW w:type="dxa" w:w="20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Not assigned</w:t>
            </w:r>
          </w:p>
        </w:tc>
      </w:tr>
      <w:tr>
        <w:trPr>
          <w:cantSplit/>
        </w:trPr>
        <w:tc>
          <w:tcPr>
            <w:tcW w:type="dxa" w:w="259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Validate model inputs and outputs</w:t>
            </w:r>
          </w:p>
        </w:tc>
        <w:tc>
          <w:tcPr>
            <w:tcW w:type="dxa" w:w="532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Compare the digital twin with relevant measurements and quantify uncertainty.</w:t>
            </w:r>
          </w:p>
        </w:tc>
        <w:tc>
          <w:tcPr>
            <w:tcW w:type="dxa" w:w="20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Not assigned</w:t>
            </w:r>
          </w:p>
        </w:tc>
      </w:tr>
      <w:tr>
        <w:trPr>
          <w:cantSplit/>
        </w:trPr>
        <w:tc>
          <w:tcPr>
            <w:tcW w:type="dxa" w:w="259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Preserve scenarios across workflows</w:t>
            </w:r>
          </w:p>
        </w:tc>
        <w:tc>
          <w:tcPr>
            <w:tcW w:type="dxa" w:w="532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Use consistent conditions for software evaluation and real hardware emulation.</w:t>
            </w:r>
          </w:p>
        </w:tc>
        <w:tc>
          <w:tcPr>
            <w:tcW w:type="dxa" w:w="20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Not assigned</w:t>
            </w:r>
          </w:p>
        </w:tc>
      </w:tr>
      <w:tr>
        <w:trPr>
          <w:cantSplit/>
        </w:trPr>
        <w:tc>
          <w:tcPr>
            <w:tcW w:type="dxa" w:w="259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Build repeatable regression scenarios</w:t>
            </w:r>
          </w:p>
        </w:tc>
        <w:tc>
          <w:tcPr>
            <w:tcW w:type="dxa" w:w="532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Capture failures and compare revisions under identical modeled conditions.</w:t>
            </w:r>
          </w:p>
        </w:tc>
        <w:tc>
          <w:tcPr>
            <w:tcW w:type="dxa" w:w="20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Not assigned</w:t>
            </w:r>
          </w:p>
        </w:tc>
      </w:tr>
      <w:tr>
        <w:trPr>
          <w:cantSplit/>
        </w:trPr>
        <w:tc>
          <w:tcPr>
            <w:tcW w:type="dxa" w:w="259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Plan targeted field verification</w:t>
            </w:r>
          </w:p>
        </w:tc>
        <w:tc>
          <w:tcPr>
            <w:tcW w:type="dxa" w:w="5328"/>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Use field trials to resolve remaining model uncertainty and verify final behavior.</w:t>
            </w:r>
          </w:p>
        </w:tc>
        <w:tc>
          <w:tcPr>
            <w:tcW w:type="dxa" w:w="201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Not assigned</w:t>
            </w:r>
          </w:p>
        </w:tc>
      </w:tr>
    </w:tbl>
    <w:p>
      <w:pPr>
        <w:pStyle w:val="Heading1"/>
      </w:pPr>
      <w:r>
        <w:t>Terminology</w:t>
      </w:r>
    </w:p>
    <w:tbl>
      <w:tblPr>
        <w:tblW w:type="auto" w:w="0"/>
        <w:tblLayout w:type="fixed"/>
        <w:tblLook w:firstColumn="1" w:firstRow="1" w:lastColumn="0" w:lastRow="0" w:noHBand="0" w:noVBand="1" w:val="04A0"/>
      </w:tblPr>
      <w:tblGrid>
        <w:gridCol w:w="2304"/>
        <w:gridCol w:w="7632"/>
      </w:tblGrid>
      <w:tr>
        <w:trPr>
          <w:tblHeader/>
          <w:cantSplit/>
        </w:trPr>
        <w:tc>
          <w:tcPr>
            <w:tcW w:type="dxa" w:w="4968"/>
            <w:vAlign w:val="center"/>
            <w:tcBorders>
              <w:top w:val="single" w:sz="4" w:color="D9D9D9"/>
              <w:left w:val="single" w:sz="4" w:color="D9D9D9"/>
              <w:bottom w:val="single" w:sz="4" w:color="D9D9D9"/>
              <w:right w:val="single" w:sz="4" w:color="D9D9D9"/>
            </w:tcBorders>
            <w:shd w:fill="E7EDF3"/>
          </w:tcPr>
          <w:p>
            <w:pPr>
              <w:spacing w:after="100" w:before="100"/>
            </w:pPr>
            <w:r>
              <w:rPr>
                <w:b/>
                <w:sz w:val="20"/>
              </w:rPr>
              <w:t>Term</w:t>
            </w:r>
          </w:p>
        </w:tc>
        <w:tc>
          <w:tcPr>
            <w:tcW w:type="dxa" w:w="4968"/>
            <w:vAlign w:val="center"/>
            <w:tcBorders>
              <w:top w:val="single" w:sz="4" w:color="D9D9D9"/>
              <w:left w:val="single" w:sz="4" w:color="D9D9D9"/>
              <w:bottom w:val="single" w:sz="4" w:color="D9D9D9"/>
              <w:right w:val="single" w:sz="4" w:color="D9D9D9"/>
            </w:tcBorders>
            <w:shd w:fill="E7EDF3"/>
          </w:tcPr>
          <w:p>
            <w:pPr>
              <w:spacing w:after="100" w:before="100"/>
            </w:pPr>
            <w:r>
              <w:rPr>
                <w:b/>
                <w:sz w:val="20"/>
              </w:rPr>
              <w:t>Meaning</w:t>
            </w:r>
          </w:p>
        </w:tc>
      </w:tr>
      <w:tr>
        <w:trPr>
          <w:cantSplit/>
        </w:trPr>
        <w:tc>
          <w:tcPr>
            <w:tcW w:type="dxa" w:w="230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CDL</w:t>
            </w:r>
          </w:p>
        </w:tc>
        <w:tc>
          <w:tcPr>
            <w:tcW w:type="dxa" w:w="763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Clustered delay line channel model</w:t>
            </w:r>
          </w:p>
        </w:tc>
      </w:tr>
      <w:tr>
        <w:trPr>
          <w:cantSplit/>
        </w:trPr>
        <w:tc>
          <w:tcPr>
            <w:tcW w:type="dxa" w:w="230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TDL</w:t>
            </w:r>
          </w:p>
        </w:tc>
        <w:tc>
          <w:tcPr>
            <w:tcW w:type="dxa" w:w="763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Tapped delay line channel model</w:t>
            </w:r>
          </w:p>
        </w:tc>
      </w:tr>
      <w:tr>
        <w:trPr>
          <w:cantSplit/>
        </w:trPr>
        <w:tc>
          <w:tcPr>
            <w:tcW w:type="dxa" w:w="230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RF digital twin</w:t>
            </w:r>
          </w:p>
        </w:tc>
        <w:tc>
          <w:tcPr>
            <w:tcW w:type="dxa" w:w="763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A virtual representation of a radio environment and deployment used to model propagation and system behavior.</w:t>
            </w:r>
          </w:p>
        </w:tc>
      </w:tr>
      <w:tr>
        <w:trPr>
          <w:cantSplit/>
        </w:trPr>
        <w:tc>
          <w:tcPr>
            <w:tcW w:type="dxa" w:w="230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Ray tracing</w:t>
            </w:r>
          </w:p>
        </w:tc>
        <w:tc>
          <w:tcPr>
            <w:tcW w:type="dxa" w:w="763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A site specific propagation modeling method discussed for producing channel data from environment geometry.</w:t>
            </w:r>
          </w:p>
        </w:tc>
      </w:tr>
      <w:tr>
        <w:trPr>
          <w:cantSplit/>
        </w:trPr>
        <w:tc>
          <w:tcPr>
            <w:tcW w:type="dxa" w:w="230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SIL and HIL</w:t>
            </w:r>
          </w:p>
        </w:tc>
        <w:tc>
          <w:tcPr>
            <w:tcW w:type="dxa" w:w="763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Software in the loop and hardware in the loop</w:t>
            </w:r>
          </w:p>
        </w:tc>
      </w:tr>
      <w:tr>
        <w:trPr>
          <w:cantSplit/>
        </w:trPr>
        <w:tc>
          <w:tcPr>
            <w:tcW w:type="dxa" w:w="230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Channel impulse response</w:t>
            </w:r>
          </w:p>
        </w:tc>
        <w:tc>
          <w:tcPr>
            <w:tcW w:type="dxa" w:w="763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Channel data describing how propagation changes a signal across path delays.</w:t>
            </w:r>
          </w:p>
        </w:tc>
      </w:tr>
      <w:tr>
        <w:trPr>
          <w:cantSplit/>
        </w:trPr>
        <w:tc>
          <w:tcPr>
            <w:tcW w:type="dxa" w:w="230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ISAC</w:t>
            </w:r>
          </w:p>
        </w:tc>
        <w:tc>
          <w:tcPr>
            <w:tcW w:type="dxa" w:w="763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Integrated sensing and communication</w:t>
            </w:r>
          </w:p>
        </w:tc>
      </w:tr>
      <w:tr>
        <w:trPr>
          <w:cantSplit/>
        </w:trPr>
        <w:tc>
          <w:tcPr>
            <w:tcW w:type="dxa" w:w="230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BLER and SINR</w:t>
            </w:r>
          </w:p>
        </w:tc>
        <w:tc>
          <w:tcPr>
            <w:tcW w:type="dxa" w:w="763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Block error rate and signal to interference plus noise ratio</w:t>
            </w:r>
          </w:p>
        </w:tc>
      </w:tr>
      <w:tr>
        <w:trPr>
          <w:cantSplit/>
        </w:trPr>
        <w:tc>
          <w:tcPr>
            <w:tcW w:type="dxa" w:w="230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Micro Doppler</w:t>
            </w:r>
          </w:p>
        </w:tc>
        <w:tc>
          <w:tcPr>
            <w:tcW w:type="dxa" w:w="7632"/>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Fine scale Doppler variation associated with target motion or moving target components.</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State of the Art Channel Modeling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