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Ubiquitous Connectivity Across Land Sea and Space</w:t>
      </w:r>
    </w:p>
    <w:p>
      <w:pPr>
        <w:pStyle w:val="Subtitle"/>
      </w:pPr>
      <w:r>
        <w:t>Detailed technical meeting minutes</w:t>
      </w:r>
    </w:p>
    <w:p>
      <w:r>
        <w:t>The 6G Forum panel examined how terrestrial, maritime and space connectivity can provide continuous, application appropriate service. Speakers emphasized interoperability, common orchestration, adaptable radios and a viable business model. The discussion produced recommendations and technical priorities rather than formal approvals or implementation commitments.</w:t>
      </w:r>
    </w:p>
    <w:p>
      <w:r>
        <w:t>Meeting date and moderator: Not identified in the supplied transcript. Source: raw-ubiuitous connectivity accross land space and sea.docx. The transcript ends during the final speaker’s response and contains recognition errors; uncertain names and references are identified below. These minutes summarize the supplied discussion without independently verifying standards or technical claims.</w:t>
      </w:r>
    </w:p>
    <w:p>
      <w:pPr>
        <w:pStyle w:val="Heading1"/>
      </w:pPr>
      <w:r>
        <w:t>Participants</w:t>
      </w:r>
    </w:p>
    <w:tbl>
      <w:tblPr>
        <w:tblW w:type="auto" w:w="0"/>
        <w:tblLayout w:type="fixed"/>
        <w:tblLook w:firstColumn="1" w:firstRow="1" w:lastColumn="0" w:lastRow="0" w:noHBand="0" w:noVBand="1" w:val="04A0"/>
      </w:tblPr>
      <w:tblGrid>
        <w:gridCol w:w="2880"/>
        <w:gridCol w:w="7056"/>
      </w:tblGrid>
      <w:tr>
        <w:trPr>
          <w:tblHeader/>
        </w:trPr>
        <w:tc>
          <w:tcPr>
            <w:tcW w:type="dxa" w:w="4968"/>
            <w:tcBorders>
              <w:top w:val="single" w:sz="4" w:color="D9D9D9"/>
              <w:left w:val="single" w:sz="4" w:color="D9D9D9"/>
              <w:bottom w:val="single" w:sz="4" w:color="D9D9D9"/>
              <w:right w:val="single" w:sz="4" w:color="D9D9D9"/>
            </w:tcBorders>
            <w:shd w:fill="E7EEF5"/>
          </w:tcPr>
          <w:p>
            <w:pPr>
              <w:spacing w:after="100" w:before="100"/>
            </w:pPr>
            <w:r>
              <w:rPr>
                <w:b/>
                <w:sz w:val="20"/>
              </w:rPr>
              <w:t>Speaker</w:t>
            </w:r>
          </w:p>
        </w:tc>
        <w:tc>
          <w:tcPr>
            <w:tcW w:type="dxa" w:w="4968"/>
            <w:tcBorders>
              <w:top w:val="single" w:sz="4" w:color="D9D9D9"/>
              <w:left w:val="single" w:sz="4" w:color="D9D9D9"/>
              <w:bottom w:val="single" w:sz="4" w:color="D9D9D9"/>
              <w:right w:val="single" w:sz="4" w:color="D9D9D9"/>
            </w:tcBorders>
            <w:shd w:fill="E7EEF5"/>
          </w:tcPr>
          <w:p>
            <w:pPr>
              <w:spacing w:after="100" w:before="100"/>
            </w:pPr>
            <w:r>
              <w:rPr>
                <w:b/>
                <w:sz w:val="20"/>
              </w:rPr>
              <w:t>Affiliation and role as introduced</w:t>
            </w:r>
          </w:p>
        </w:tc>
      </w:tr>
      <w:tr>
        <w:trP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0"/>
              </w:rPr>
              <w:t>Joseph Jornet</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20"/>
              </w:rPr>
              <w:t>Northeastern University — Associate Dean of Research; name rendered as Joseph in the transcript.</w:t>
            </w:r>
          </w:p>
        </w:tc>
      </w:tr>
      <w:tr>
        <w:trPr/>
        <w:tc>
          <w:tcPr>
            <w:tcW w:type="dxa" w:w="2880"/>
            <w:tcBorders>
              <w:top w:val="single" w:sz="4" w:color="D9D9D9"/>
              <w:left w:val="single" w:sz="4" w:color="D9D9D9"/>
              <w:bottom w:val="single" w:sz="4" w:color="D9D9D9"/>
              <w:right w:val="single" w:sz="4" w:color="D9D9D9"/>
            </w:tcBorders>
            <w:shd w:fill="F5F5F5"/>
          </w:tcPr>
          <w:p>
            <w:pPr>
              <w:spacing w:after="100" w:before="100"/>
            </w:pPr>
            <w:r>
              <w:rPr>
                <w:b w:val="0"/>
                <w:sz w:val="20"/>
              </w:rPr>
              <w:t>UC Kitaba — name unclear</w:t>
            </w:r>
          </w:p>
        </w:tc>
        <w:tc>
          <w:tcPr>
            <w:tcW w:type="dxa" w:w="7056"/>
            <w:tcBorders>
              <w:top w:val="single" w:sz="4" w:color="D9D9D9"/>
              <w:left w:val="single" w:sz="4" w:color="D9D9D9"/>
              <w:bottom w:val="single" w:sz="4" w:color="D9D9D9"/>
              <w:right w:val="single" w:sz="4" w:color="D9D9D9"/>
            </w:tcBorders>
            <w:shd w:fill="F5F5F5"/>
          </w:tcPr>
          <w:p>
            <w:pPr>
              <w:spacing w:after="100" w:before="100"/>
            </w:pPr>
            <w:r>
              <w:rPr>
                <w:b w:val="0"/>
                <w:sz w:val="20"/>
              </w:rPr>
              <w:t>ETSI — Technical Officer; transcript renders the organization as Etsy and the speaker’s name inconsistently.</w:t>
            </w:r>
          </w:p>
        </w:tc>
      </w:tr>
      <w:tr>
        <w:trP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0"/>
              </w:rPr>
              <w:t>Christos Masouros</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20"/>
              </w:rPr>
              <w:t>University College London — Professor of Signal Processing and Wireless Communications.</w:t>
            </w:r>
          </w:p>
        </w:tc>
      </w:tr>
      <w:tr>
        <w:trPr/>
        <w:tc>
          <w:tcPr>
            <w:tcW w:type="dxa" w:w="2880"/>
            <w:tcBorders>
              <w:top w:val="single" w:sz="4" w:color="D9D9D9"/>
              <w:left w:val="single" w:sz="4" w:color="D9D9D9"/>
              <w:bottom w:val="single" w:sz="4" w:color="D9D9D9"/>
              <w:right w:val="single" w:sz="4" w:color="D9D9D9"/>
            </w:tcBorders>
            <w:shd w:fill="F5F5F5"/>
          </w:tcPr>
          <w:p>
            <w:pPr>
              <w:spacing w:after="100" w:before="100"/>
            </w:pPr>
            <w:r>
              <w:rPr>
                <w:b w:val="0"/>
                <w:sz w:val="20"/>
              </w:rPr>
              <w:t>Sam Roberts</w:t>
            </w:r>
          </w:p>
        </w:tc>
        <w:tc>
          <w:tcPr>
            <w:tcW w:type="dxa" w:w="7056"/>
            <w:tcBorders>
              <w:top w:val="single" w:sz="4" w:color="D9D9D9"/>
              <w:left w:val="single" w:sz="4" w:color="D9D9D9"/>
              <w:bottom w:val="single" w:sz="4" w:color="D9D9D9"/>
              <w:right w:val="single" w:sz="4" w:color="D9D9D9"/>
            </w:tcBorders>
            <w:shd w:fill="F5F5F5"/>
          </w:tcPr>
          <w:p>
            <w:pPr>
              <w:spacing w:after="100" w:before="100"/>
            </w:pPr>
            <w:r>
              <w:rPr>
                <w:b w:val="0"/>
                <w:sz w:val="20"/>
              </w:rPr>
              <w:t>Battelle — Spectrum Solutions Portfolio Manager; organization is also rendered as Patel in the transcript.</w:t>
            </w:r>
          </w:p>
        </w:tc>
      </w:tr>
    </w:tbl>
    <w:p>
      <w:pPr>
        <w:pStyle w:val="Heading1"/>
      </w:pPr>
      <w:r>
        <w:t>Purpose and scope</w:t>
      </w:r>
    </w:p>
    <w:p>
      <w:r>
        <w:t>The moderator asked whether ubiquitous connectivity means broadband everywhere or intelligent combination of available networks to meet a particular user or application need. The panel considered terrestrial and non terrestrial integration, spectrum sharing, satellite access, physical layer adaptation, integrated sensing and communications, military resilience, commercial value and the conditions needed to make the vision practical by 2035.</w:t>
      </w:r>
    </w:p>
    <w:p>
      <w:pPr>
        <w:pStyle w:val="Heading1"/>
      </w:pPr>
      <w:r>
        <w:t>Meaning of ubiquitous connectivity</w:t>
      </w:r>
    </w:p>
    <w:p>
      <w:r>
        <w:t>Jornet described uninterrupted quality of experience regardless of location. Satellite and other non terrestrial links would be especially valuable outside dense urban areas, where terrestrial infrastructure may be economically difficult to deploy. He questioned the need to use satellite links in a city already served well by terrestrial base stations.</w:t>
      </w:r>
    </w:p>
    <w:p>
      <w:r>
        <w:t>The ETSI speaker broadened the user definition beyond consumers to enterprise verticals, IoT, mobile broadband and private networks. Seamless movement between private and public networks was included in the connectivity objective.</w:t>
      </w:r>
    </w:p>
    <w:p>
      <w:r>
        <w:t>Masouros distinguished ubiquitous connectivity from ubiquitous broadband. Application requirements differ: an autonomous system may need highly reliable low rate communication rather than gigabit throughput. Capacity, latency and reliability should be selected according to the service. Designing maximum broadband everywhere risks unnecessary engineering and cost.</w:t>
      </w:r>
    </w:p>
    <w:p>
      <w:r>
        <w:t>Roberts emphasized resilience: a system must continue operating when the preferred communication path degrades or disappears. Understanding which signals have priority is central to maintaining useful service.</w:t>
      </w:r>
    </w:p>
    <w:p>
      <w:pPr>
        <w:pStyle w:val="Heading1"/>
      </w:pPr>
      <w:r>
        <w:t>Integration architecture and existing infrastructure</w:t>
      </w:r>
    </w:p>
    <w:p>
      <w:r>
        <w:t>The moderator contrasted a common architecture with interoperability among independent networks. Jornet supported the long term concept of a continuum across satellite and high altitude platforms but stressed that existing infrastructure cannot simply be replaced or made to behave as a new 6G system. Integration must accommodate hardware designed for other purposes.</w:t>
      </w:r>
    </w:p>
    <w:p>
      <w:r>
        <w:t>The ETSI speaker described current terrestrial and satellite deployments as operating across separate spectrum arrangements and presented closer radio interface and physical layer integration as a 6G objective. The transcript’s detailed band names are unclear and are not reproduced as confirmed specifications.</w:t>
      </w:r>
    </w:p>
    <w:p>
      <w:r>
        <w:t>The speaker also referred to existing dual connectivity concepts and the possibility of a session using terrestrial and satellite paths. This was discussed as a direction for integration, not demonstrated deployment or a confirmed end to end capability in a named implementation.</w:t>
      </w:r>
    </w:p>
    <w:p>
      <w:r>
        <w:t>Masouros argued that the ecosystem will remain heterogeneous, particularly when UAVs and low altitude applications are included. AI could support efficient integration, but the panel did not specify an AI architecture, model or control interface.</w:t>
      </w:r>
    </w:p>
    <w:p>
      <w:r>
        <w:t>Roberts proposed working toward common interfaces and orchestration so different physical networks behave as one service for the user or field operator. Different propagation conditions, satellite links and power requirements limit how much physical uniformity is practical.</w:t>
      </w:r>
    </w:p>
    <w:p>
      <w:pPr>
        <w:pStyle w:val="Heading1"/>
      </w:pPr>
      <w:r>
        <w:t>Satellite access and standards challenges</w:t>
      </w:r>
    </w:p>
    <w:p>
      <w:r>
        <w:t>The ETSI speaker explained that the relevant technical standardization takes place within 3GPP, with ETSI supporting that work. NTN development was associated with Release 17. A later release reference appears near Release 20, but the transcription is ambiguous and should be confirmed before being used as a standards status statement.</w:t>
      </w:r>
    </w:p>
    <w:p>
      <w:r>
        <w:t>Two satellite access approaches were contrasted: NTN aware terminals that compensate for Doppler and timing, and unmodified terminals for which the satellite or network performs the required accommodation. The latter approach was discussed in connection with satellite operators seeking to serve legacy devices.</w:t>
      </w:r>
    </w:p>
    <w:p>
      <w:pPr>
        <w:pStyle w:val="ListBullet"/>
      </w:pPr>
      <w:r>
        <w:t>Coexistence becomes difficult when the two terminal types operate in shared spectrum because timing compensation and scheduling behavior differ.</w:t>
      </w:r>
    </w:p>
    <w:p>
      <w:pPr>
        <w:pStyle w:val="ListBullet"/>
      </w:pPr>
      <w:r>
        <w:t>Signals can arrive with different timing characteristics at the satellite receiver, creating scheduling and interference challenges.</w:t>
      </w:r>
    </w:p>
    <w:p>
      <w:pPr>
        <w:pStyle w:val="ListBullet"/>
      </w:pPr>
      <w:r>
        <w:t>Closer terrestrial and satellite convergence also introduces architectural questions beyond the radio interface.</w:t>
      </w:r>
    </w:p>
    <w:p>
      <w:r>
        <w:t>The speaker referred to recently initiated work on coexistence and to WRC 27 discussions concerning satellite connectivity for unmodified devices. The transcript’s agenda or work item identifier is garbled. No exact identifier, approval status or regulatory outcome can be established from this source.</w:t>
      </w:r>
    </w:p>
    <w:p>
      <w:pPr>
        <w:pStyle w:val="Heading1"/>
      </w:pPr>
      <w:r>
        <w:t>Sub terahertz connectivity and antenna tradeoffs</w:t>
      </w:r>
    </w:p>
    <w:p>
      <w:r>
        <w:t>Jornet argued that sub terahertz frequencies should not be evaluated only as a way to obtain more bandwidth. A shorter wavelength can provide greater antenna gain for a fixed physical aperture, which may help certain satellite link designs. This was the speaker’s technical rationale, not a universal claim that high frequencies always propagate better.</w:t>
      </w:r>
    </w:p>
    <w:p>
      <w:r>
        <w:t>He compared the approach with optical communications, where high gain comes with demanding pointing requirements. Movement and atmospheric conditions can complicate optical links, making selected sub terahertz operating windows worth studying.</w:t>
      </w:r>
    </w:p>
    <w:p>
      <w:r>
        <w:t>The discussion cited approximately 100 to 300 GHz, atmospheric absorption near 118 and 183 GHz, and an example around 225 GHz. These numbers are retained as speaker cited examples; the minutes do not establish a complete atmospheric loss model or validated link budget. Company filings and funding activity were mentioned without identifiable references.</w:t>
      </w:r>
    </w:p>
    <w:p>
      <w:r>
        <w:t>No specific spectrum selection, antenna specification, satellite payload design or implementation was agreed.</w:t>
      </w:r>
    </w:p>
    <w:p>
      <w:pPr>
        <w:pStyle w:val="Heading1"/>
      </w:pPr>
      <w:r>
        <w:t>Orchestration and mission continuity</w:t>
      </w:r>
    </w:p>
    <w:p>
      <w:r>
        <w:t>Roberts distinguished commercial ubiquity, often described through coverage, speed and user experience, from mission environments where continuity is the first requirement. Essential communication must survive jamming, interference, congestion or loss of the preferred path.</w:t>
      </w:r>
    </w:p>
    <w:p>
      <w:pPr>
        <w:pStyle w:val="ListBullet"/>
      </w:pPr>
      <w:r>
        <w:t>Directional control using massive MIMO and beamforming was identified as an enabling capability.</w:t>
      </w:r>
    </w:p>
    <w:p>
      <w:pPr>
        <w:pStyle w:val="ListBullet"/>
      </w:pPr>
      <w:r>
        <w:t>Multiple available communication paths and suitable waveforms are needed across terrestrial and maritime conditions.</w:t>
      </w:r>
    </w:p>
    <w:p>
      <w:pPr>
        <w:pStyle w:val="ListBullet"/>
      </w:pPr>
      <w:r>
        <w:t>Priority must be built into the overall architecture and must be changeable by the operator as the mission evolves.</w:t>
      </w:r>
    </w:p>
    <w:p>
      <w:r>
        <w:t>The moderator referred to PACE planning as a resilience concept. Roberts illustrated dynamic priorities with command and control traffic taking precedence over bulk drone data, while urgent drone video might become the higher priority during another mission phase. The system should support such changes seamlessly.</w:t>
      </w:r>
    </w:p>
    <w:p>
      <w:pPr>
        <w:pStyle w:val="Heading1"/>
      </w:pPr>
      <w:r>
        <w:t>Integrated sensing and communications</w:t>
      </w:r>
    </w:p>
    <w:p>
      <w:r>
        <w:t>In response to an audience question, Masouros described ISAC as a way for sensing to assist the communication network. Tracking transmitters and receivers could inform handover and potentially improve service continuity. The question also raised dynamic adjustment of connectivity, energy and resources, but no specific energy management method was defined.</w:t>
      </w:r>
    </w:p>
    <w:p>
      <w:r>
        <w:t>Communication infrastructure can connect multiple sensors and enable distributed sensing. Masouros also outlined a future possibility of combining communication and sensing functions on one satellite rather than launching separate platforms, potentially reducing infrastructure cost. This was a prospective concept, not an announced program.</w:t>
      </w:r>
    </w:p>
    <w:p>
      <w:r>
        <w:t>For defense and commercial dual use, Masouros noted that commercial transmission power is constrained by applicable standards and regulations. Distributed sensing and favorable observation geometry could recover some performance otherwise associated with high power dedicated radar systems. No quantitative performance target or monetization model was supplied.</w:t>
      </w:r>
    </w:p>
    <w:p>
      <w:pPr>
        <w:pStyle w:val="Heading1"/>
      </w:pPr>
      <w:r>
        <w:t>Adaptive physical layer</w:t>
      </w:r>
    </w:p>
    <w:p>
      <w:r>
        <w:t>An audience question asked how close radios are to maintaining continuity across very different propagation environments. Jornet identified several required adaptation dimensions:</w:t>
      </w:r>
    </w:p>
    <w:p>
      <w:pPr>
        <w:pStyle w:val="ListBullet"/>
      </w:pPr>
      <w:r>
        <w:t>Frequency selection and tuning across the supported operating spectrum.</w:t>
      </w:r>
    </w:p>
    <w:p>
      <w:pPr>
        <w:pStyle w:val="ListBullet"/>
      </w:pPr>
      <w:r>
        <w:t>Variable bandwidth and selection of modulation, coding and signal processing techniques.</w:t>
      </w:r>
    </w:p>
    <w:p>
      <w:pPr>
        <w:pStyle w:val="ListBullet"/>
      </w:pPr>
      <w:r>
        <w:t>Spatial adaptation through antenna control and beamforming.</w:t>
      </w:r>
    </w:p>
    <w:p>
      <w:pPr>
        <w:pStyle w:val="ListBullet"/>
      </w:pPr>
      <w:r>
        <w:t>Coordination of adaptation in time, frequency, space and processing algorithms.</w:t>
      </w:r>
    </w:p>
    <w:p>
      <w:r>
        <w:t>Jornet described substantial progress relative to a decade earlier, while cautioning that a single available chipset supporting the entire vision was not established. Real time algorithms need radio hardware with matching flexibility. His reference to software defined radio concerned broader radio adaptability, not merely changing bandwidth within a few existing bands. No firm availability date was provided.</w:t>
      </w:r>
    </w:p>
    <w:p>
      <w:pPr>
        <w:pStyle w:val="Heading1"/>
      </w:pPr>
      <w:r>
        <w:t>Context aware spectrum orchestration</w:t>
      </w:r>
    </w:p>
    <w:p>
      <w:r>
        <w:t>Roberts supported an orchestration layer that considers more than frequency and interference. In converged land, sea, air and space systems, spectrum decisions must account for mission priority, geography, platform movement through space and time, regulatory boundaries and security policies. Interference remains an input, but it is insufficient by itself.</w:t>
      </w:r>
    </w:p>
    <w:p>
      <w:r>
        <w:t>The ETSI speaker connected practical local deployment to fragmented spectrum and the need for commercially feasible operation across different bands. Sharing with existing users was presented as a likely requirement for future spectrum access. This was a panel expectation, not a recorded regulatory decision.</w:t>
      </w:r>
    </w:p>
    <w:p>
      <w:pPr>
        <w:pStyle w:val="Heading1"/>
      </w:pPr>
      <w:r>
        <w:t>Commercial value and deployment economics</w:t>
      </w:r>
    </w:p>
    <w:p>
      <w:r>
        <w:t>The ETSI speaker questioned whether connectivity in sparsely populated locations alone would be a sufficient 6G business case. Integration and cost efficiency may provide broader value. Too many optional solutions and later additions can increase complexity; a reusable framework should support mobile broadband, IoT and multiple verticals without proliferating incompatible choices.</w:t>
      </w:r>
    </w:p>
    <w:p>
      <w:r>
        <w:t>Jornet identified premium remote connectivity, including maritime users and isolated properties, as examples of customers potentially willing to pay. He also described falling barriers to satellite experimentation and cited a student satellite example around 50,000 dollars, explicitly distinguishing it from higher capability commercial satellites. The example was not a deployment cost estimate for a commercial constellation.</w:t>
      </w:r>
    </w:p>
    <w:p>
      <w:r>
        <w:t>The discussion contrasted long lived historical satellites with shorter replacement cycles in newer LEO systems. The exact lifetime figure is unclear in the transcript. The main point was that lifecycle and replenishment assumptions have changed and must be included in the economic model.</w:t>
      </w:r>
    </w:p>
    <w:p>
      <w:pPr>
        <w:pStyle w:val="Heading1"/>
      </w:pPr>
      <w:r>
        <w:t>Conditions for the 2035 vision</w:t>
      </w:r>
    </w:p>
    <w:tbl>
      <w:tblPr>
        <w:tblW w:type="auto" w:w="0"/>
        <w:tblLayout w:type="fixed"/>
        <w:tblLook w:firstColumn="1" w:firstRow="1" w:lastColumn="0" w:lastRow="0" w:noHBand="0" w:noVBand="1" w:val="04A0"/>
      </w:tblPr>
      <w:tblGrid>
        <w:gridCol w:w="2160"/>
        <w:gridCol w:w="7776"/>
      </w:tblGrid>
      <w:tr>
        <w:trPr>
          <w:tblHeader/>
        </w:trPr>
        <w:tc>
          <w:tcPr>
            <w:tcW w:type="dxa" w:w="4968"/>
            <w:tcBorders>
              <w:top w:val="single" w:sz="4" w:color="D9D9D9"/>
              <w:left w:val="single" w:sz="4" w:color="D9D9D9"/>
              <w:bottom w:val="single" w:sz="4" w:color="D9D9D9"/>
              <w:right w:val="single" w:sz="4" w:color="D9D9D9"/>
            </w:tcBorders>
            <w:shd w:fill="E7EEF5"/>
          </w:tcPr>
          <w:p>
            <w:pPr>
              <w:spacing w:after="100" w:before="100"/>
            </w:pPr>
            <w:r>
              <w:rPr>
                <w:b/>
                <w:sz w:val="20"/>
              </w:rPr>
              <w:t>Speaker</w:t>
            </w:r>
          </w:p>
        </w:tc>
        <w:tc>
          <w:tcPr>
            <w:tcW w:type="dxa" w:w="4968"/>
            <w:tcBorders>
              <w:top w:val="single" w:sz="4" w:color="D9D9D9"/>
              <w:left w:val="single" w:sz="4" w:color="D9D9D9"/>
              <w:bottom w:val="single" w:sz="4" w:color="D9D9D9"/>
              <w:right w:val="single" w:sz="4" w:color="D9D9D9"/>
            </w:tcBorders>
            <w:shd w:fill="E7EEF5"/>
          </w:tcPr>
          <w:p>
            <w:pPr>
              <w:spacing w:after="100" w:before="100"/>
            </w:pPr>
            <w:r>
              <w:rPr>
                <w:b/>
                <w:sz w:val="20"/>
              </w:rPr>
              <w:t>Closing priority</w:t>
            </w:r>
          </w:p>
        </w:tc>
      </w:tr>
      <w:tr>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Jornet</w:t>
            </w:r>
          </w:p>
        </w:tc>
        <w:tc>
          <w:tcPr>
            <w:tcW w:type="dxa" w:w="7776"/>
            <w:tcBorders>
              <w:top w:val="single" w:sz="4" w:color="D9D9D9"/>
              <w:left w:val="single" w:sz="4" w:color="D9D9D9"/>
              <w:bottom w:val="single" w:sz="4" w:color="D9D9D9"/>
              <w:right w:val="single" w:sz="4" w:color="D9D9D9"/>
            </w:tcBorders>
            <w:shd w:fill="FFFFFF"/>
          </w:tcPr>
          <w:p>
            <w:pPr>
              <w:spacing w:after="100" w:before="100"/>
            </w:pPr>
            <w:r>
              <w:rPr>
                <w:b w:val="0"/>
                <w:sz w:val="20"/>
              </w:rPr>
              <w:t>Make connectivity transparent to users, with acceptable battery behavior and affordable service regardless of the serving network.</w:t>
            </w:r>
          </w:p>
        </w:tc>
      </w:tr>
      <w:tr>
        <w:trPr/>
        <w:tc>
          <w:tcPr>
            <w:tcW w:type="dxa" w:w="2160"/>
            <w:tcBorders>
              <w:top w:val="single" w:sz="4" w:color="D9D9D9"/>
              <w:left w:val="single" w:sz="4" w:color="D9D9D9"/>
              <w:bottom w:val="single" w:sz="4" w:color="D9D9D9"/>
              <w:right w:val="single" w:sz="4" w:color="D9D9D9"/>
            </w:tcBorders>
            <w:shd w:fill="F5F5F5"/>
          </w:tcPr>
          <w:p>
            <w:pPr>
              <w:spacing w:after="100" w:before="100"/>
            </w:pPr>
            <w:r>
              <w:rPr>
                <w:b w:val="0"/>
                <w:sz w:val="20"/>
              </w:rPr>
              <w:t>ETSI speaker</w:t>
            </w:r>
          </w:p>
        </w:tc>
        <w:tc>
          <w:tcPr>
            <w:tcW w:type="dxa" w:w="7776"/>
            <w:tcBorders>
              <w:top w:val="single" w:sz="4" w:color="D9D9D9"/>
              <w:left w:val="single" w:sz="4" w:color="D9D9D9"/>
              <w:bottom w:val="single" w:sz="4" w:color="D9D9D9"/>
              <w:right w:val="single" w:sz="4" w:color="D9D9D9"/>
            </w:tcBorders>
            <w:shd w:fill="F5F5F5"/>
          </w:tcPr>
          <w:p>
            <w:pPr>
              <w:spacing w:after="100" w:before="100"/>
            </w:pPr>
            <w:r>
              <w:rPr>
                <w:b w:val="0"/>
                <w:sz w:val="20"/>
              </w:rPr>
              <w:t>Favor standalone deployment from the outset and avoid the complexity associated with multiple transitional options. The closing wording is partly unclear.</w:t>
            </w:r>
          </w:p>
        </w:tc>
      </w:tr>
      <w:tr>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Masouros</w:t>
            </w:r>
          </w:p>
        </w:tc>
        <w:tc>
          <w:tcPr>
            <w:tcW w:type="dxa" w:w="7776"/>
            <w:tcBorders>
              <w:top w:val="single" w:sz="4" w:color="D9D9D9"/>
              <w:left w:val="single" w:sz="4" w:color="D9D9D9"/>
              <w:bottom w:val="single" w:sz="4" w:color="D9D9D9"/>
              <w:right w:val="single" w:sz="4" w:color="D9D9D9"/>
            </w:tcBorders>
            <w:shd w:fill="FFFFFF"/>
          </w:tcPr>
          <w:p>
            <w:pPr>
              <w:spacing w:after="100" w:before="100"/>
            </w:pPr>
            <w:r>
              <w:rPr>
                <w:b w:val="0"/>
                <w:sz w:val="20"/>
              </w:rPr>
              <w:t>Resolve cross country infrastructure integration and geopolitical issues; governments and large corporations may be major users and buyers.</w:t>
            </w:r>
          </w:p>
        </w:tc>
      </w:tr>
      <w:tr>
        <w:trPr/>
        <w:tc>
          <w:tcPr>
            <w:tcW w:type="dxa" w:w="2160"/>
            <w:tcBorders>
              <w:top w:val="single" w:sz="4" w:color="D9D9D9"/>
              <w:left w:val="single" w:sz="4" w:color="D9D9D9"/>
              <w:bottom w:val="single" w:sz="4" w:color="D9D9D9"/>
              <w:right w:val="single" w:sz="4" w:color="D9D9D9"/>
            </w:tcBorders>
            <w:shd w:fill="F5F5F5"/>
          </w:tcPr>
          <w:p>
            <w:pPr>
              <w:spacing w:after="100" w:before="100"/>
            </w:pPr>
            <w:r>
              <w:rPr>
                <w:b w:val="0"/>
                <w:sz w:val="20"/>
              </w:rPr>
              <w:t>Roberts</w:t>
            </w:r>
          </w:p>
        </w:tc>
        <w:tc>
          <w:tcPr>
            <w:tcW w:type="dxa" w:w="7776"/>
            <w:tcBorders>
              <w:top w:val="single" w:sz="4" w:color="D9D9D9"/>
              <w:left w:val="single" w:sz="4" w:color="D9D9D9"/>
              <w:bottom w:val="single" w:sz="4" w:color="D9D9D9"/>
              <w:right w:val="single" w:sz="4" w:color="D9D9D9"/>
            </w:tcBorders>
            <w:shd w:fill="F5F5F5"/>
          </w:tcPr>
          <w:p>
            <w:pPr>
              <w:spacing w:after="100" w:before="100"/>
            </w:pPr>
            <w:r>
              <w:rPr>
                <w:b w:val="0"/>
                <w:sz w:val="20"/>
              </w:rPr>
              <w:t>Alignment and compatibility across terrestrial, space and specialized networks. The source ends before the response is complete.</w:t>
            </w:r>
          </w:p>
        </w:tc>
      </w:tr>
    </w:tbl>
    <w:p>
      <w:pPr>
        <w:pStyle w:val="Heading1"/>
      </w:pPr>
      <w:r>
        <w:t>Outcomes and decisions</w:t>
      </w:r>
    </w:p>
    <w:p>
      <w:r>
        <w:t>No formal decisions, votes, approved architecture, budget, pilot commitment or delivery schedule were recorded. The following themes reflect recurring recommendations and broad alignment rather than binding agreement:</w:t>
      </w:r>
    </w:p>
    <w:p>
      <w:pPr>
        <w:pStyle w:val="ListBullet"/>
      </w:pPr>
      <w:r>
        <w:t>Define service requirements by application, with continuity and reliability alongside throughput.</w:t>
      </w:r>
    </w:p>
    <w:p>
      <w:pPr>
        <w:pStyle w:val="ListBullet"/>
      </w:pPr>
      <w:r>
        <w:t>Use common interfaces and orchestration to integrate heterogeneous infrastructure.</w:t>
      </w:r>
    </w:p>
    <w:p>
      <w:pPr>
        <w:pStyle w:val="ListBullet"/>
      </w:pPr>
      <w:r>
        <w:t>Address timing, Doppler, scheduling and interference when combining satellite access approaches.</w:t>
      </w:r>
    </w:p>
    <w:p>
      <w:pPr>
        <w:pStyle w:val="ListBullet"/>
      </w:pPr>
      <w:r>
        <w:t>Study ISAC and adaptive radio capabilities as enablers of continuity and efficient resource use.</w:t>
      </w:r>
    </w:p>
    <w:p>
      <w:pPr>
        <w:pStyle w:val="ListBullet"/>
      </w:pPr>
      <w:r>
        <w:t>Keep user experience, device energy consumption, spectrum access and deployment economics central to the design.</w:t>
      </w:r>
    </w:p>
    <w:p>
      <w:pPr>
        <w:pStyle w:val="Heading1"/>
      </w:pPr>
      <w:r>
        <w:t>Open questions</w:t>
      </w:r>
    </w:p>
    <w:p>
      <w:pPr>
        <w:pStyle w:val="ListBullet"/>
      </w:pPr>
      <w:r>
        <w:t>Which terrestrial and satellite session continuity mechanisms can be implemented with available devices and infrastructure?</w:t>
      </w:r>
    </w:p>
    <w:p>
      <w:pPr>
        <w:pStyle w:val="ListBullet"/>
      </w:pPr>
      <w:r>
        <w:t>How will NTN aware and unmodified terminals coexist in shared spectrum, and what work item defines the study scope?</w:t>
      </w:r>
    </w:p>
    <w:p>
      <w:pPr>
        <w:pStyle w:val="ListBullet"/>
      </w:pPr>
      <w:r>
        <w:t>Which frequency ranges and sharing conditions will support commercially viable local deployment?</w:t>
      </w:r>
    </w:p>
    <w:p>
      <w:pPr>
        <w:pStyle w:val="ListBullet"/>
      </w:pPr>
      <w:r>
        <w:t>What radio hardware can support the required frequency, bandwidth and spatial adaptability at acceptable power and cost?</w:t>
      </w:r>
    </w:p>
    <w:p>
      <w:pPr>
        <w:pStyle w:val="ListBullet"/>
      </w:pPr>
      <w:r>
        <w:t>How can sensing informed handover and distributed sensing benefits be measured in operational systems?</w:t>
      </w:r>
    </w:p>
    <w:p>
      <w:pPr>
        <w:pStyle w:val="ListBullet"/>
      </w:pPr>
      <w:r>
        <w:t>Which commercial and government applications justify infrastructure investment and ongoing satellite replenishment?</w:t>
      </w:r>
    </w:p>
    <w:p>
      <w:pPr>
        <w:pStyle w:val="ListBullet"/>
      </w:pPr>
      <w:r>
        <w:t>How will cross border regulation, security policies and infrastructure ownership affect orchestration?</w:t>
      </w:r>
    </w:p>
    <w:p>
      <w:pPr>
        <w:pStyle w:val="Heading1"/>
      </w:pPr>
      <w:r>
        <w:t>Proposed follow up actions</w:t>
      </w:r>
    </w:p>
    <w:p>
      <w:r>
        <w:t>The panel did not assign actions, owners or deadlines. The items below are proposed follow ups derived from the discussion; they are not commitments made by the speakers.</w:t>
      </w:r>
    </w:p>
    <w:tbl>
      <w:tblPr>
        <w:tblW w:type="auto" w:w="0"/>
        <w:tblLayout w:type="fixed"/>
        <w:tblLook w:firstColumn="1" w:firstRow="1" w:lastColumn="0" w:lastRow="0" w:noHBand="0" w:noVBand="1" w:val="04A0"/>
      </w:tblPr>
      <w:tblGrid>
        <w:gridCol w:w="3384"/>
        <w:gridCol w:w="6552"/>
      </w:tblGrid>
      <w:tr>
        <w:trPr>
          <w:tblHeader/>
        </w:trPr>
        <w:tc>
          <w:tcPr>
            <w:tcW w:type="dxa" w:w="4968"/>
            <w:tcBorders>
              <w:top w:val="single" w:sz="4" w:color="D9D9D9"/>
              <w:left w:val="single" w:sz="4" w:color="D9D9D9"/>
              <w:bottom w:val="single" w:sz="4" w:color="D9D9D9"/>
              <w:right w:val="single" w:sz="4" w:color="D9D9D9"/>
            </w:tcBorders>
            <w:shd w:fill="E7EEF5"/>
          </w:tcPr>
          <w:p>
            <w:pPr>
              <w:spacing w:after="100" w:before="100"/>
            </w:pPr>
            <w:r>
              <w:rPr>
                <w:b/>
                <w:sz w:val="20"/>
              </w:rPr>
              <w:t>Proposed follow up</w:t>
            </w:r>
          </w:p>
        </w:tc>
        <w:tc>
          <w:tcPr>
            <w:tcW w:type="dxa" w:w="4968"/>
            <w:tcBorders>
              <w:top w:val="single" w:sz="4" w:color="D9D9D9"/>
              <w:left w:val="single" w:sz="4" w:color="D9D9D9"/>
              <w:bottom w:val="single" w:sz="4" w:color="D9D9D9"/>
              <w:right w:val="single" w:sz="4" w:color="D9D9D9"/>
            </w:tcBorders>
            <w:shd w:fill="E7EEF5"/>
          </w:tcPr>
          <w:p>
            <w:pPr>
              <w:spacing w:after="100" w:before="100"/>
            </w:pPr>
            <w:r>
              <w:rPr>
                <w:b/>
                <w:sz w:val="20"/>
              </w:rPr>
              <w:t>Expected output</w:t>
            </w:r>
          </w:p>
        </w:tc>
      </w:tr>
      <w:tr>
        <w:trPr/>
        <w:tc>
          <w:tcPr>
            <w:tcW w:type="dxa" w:w="3384"/>
            <w:tcBorders>
              <w:top w:val="single" w:sz="4" w:color="D9D9D9"/>
              <w:left w:val="single" w:sz="4" w:color="D9D9D9"/>
              <w:bottom w:val="single" w:sz="4" w:color="D9D9D9"/>
              <w:right w:val="single" w:sz="4" w:color="D9D9D9"/>
            </w:tcBorders>
            <w:shd w:fill="FFFFFF"/>
          </w:tcPr>
          <w:p>
            <w:pPr>
              <w:spacing w:after="100" w:before="100"/>
            </w:pPr>
            <w:r>
              <w:rPr>
                <w:b w:val="0"/>
                <w:sz w:val="20"/>
              </w:rPr>
              <w:t>Validate source details</w:t>
            </w:r>
          </w:p>
        </w:tc>
        <w:tc>
          <w:tcPr>
            <w:tcW w:type="dxa" w:w="6552"/>
            <w:tcBorders>
              <w:top w:val="single" w:sz="4" w:color="D9D9D9"/>
              <w:left w:val="single" w:sz="4" w:color="D9D9D9"/>
              <w:bottom w:val="single" w:sz="4" w:color="D9D9D9"/>
              <w:right w:val="single" w:sz="4" w:color="D9D9D9"/>
            </w:tcBorders>
            <w:shd w:fill="FFFFFF"/>
          </w:tcPr>
          <w:p>
            <w:pPr>
              <w:spacing w:after="100" w:before="100"/>
            </w:pPr>
            <w:r>
              <w:rPr>
                <w:b w:val="0"/>
                <w:sz w:val="20"/>
              </w:rPr>
              <w:t>Confirm meeting date, speaker name, later release reference and WRC agenda or 3GPP work item identifiers.</w:t>
            </w:r>
          </w:p>
        </w:tc>
      </w:tr>
      <w:tr>
        <w:trPr/>
        <w:tc>
          <w:tcPr>
            <w:tcW w:type="dxa" w:w="3384"/>
            <w:tcBorders>
              <w:top w:val="single" w:sz="4" w:color="D9D9D9"/>
              <w:left w:val="single" w:sz="4" w:color="D9D9D9"/>
              <w:bottom w:val="single" w:sz="4" w:color="D9D9D9"/>
              <w:right w:val="single" w:sz="4" w:color="D9D9D9"/>
            </w:tcBorders>
            <w:shd w:fill="F5F5F5"/>
          </w:tcPr>
          <w:p>
            <w:pPr>
              <w:spacing w:after="100" w:before="100"/>
            </w:pPr>
            <w:r>
              <w:rPr>
                <w:b w:val="0"/>
                <w:sz w:val="20"/>
              </w:rPr>
              <w:t>Define representative services</w:t>
            </w:r>
          </w:p>
        </w:tc>
        <w:tc>
          <w:tcPr>
            <w:tcW w:type="dxa" w:w="6552"/>
            <w:tcBorders>
              <w:top w:val="single" w:sz="4" w:color="D9D9D9"/>
              <w:left w:val="single" w:sz="4" w:color="D9D9D9"/>
              <w:bottom w:val="single" w:sz="4" w:color="D9D9D9"/>
              <w:right w:val="single" w:sz="4" w:color="D9D9D9"/>
            </w:tcBorders>
            <w:shd w:fill="F5F5F5"/>
          </w:tcPr>
          <w:p>
            <w:pPr>
              <w:spacing w:after="100" w:before="100"/>
            </w:pPr>
            <w:r>
              <w:rPr>
                <w:b w:val="0"/>
                <w:sz w:val="20"/>
              </w:rPr>
              <w:t>Document application specific continuity, reliability, latency, throughput, priority and device power requirements.</w:t>
            </w:r>
          </w:p>
        </w:tc>
      </w:tr>
      <w:tr>
        <w:trPr/>
        <w:tc>
          <w:tcPr>
            <w:tcW w:type="dxa" w:w="3384"/>
            <w:tcBorders>
              <w:top w:val="single" w:sz="4" w:color="D9D9D9"/>
              <w:left w:val="single" w:sz="4" w:color="D9D9D9"/>
              <w:bottom w:val="single" w:sz="4" w:color="D9D9D9"/>
              <w:right w:val="single" w:sz="4" w:color="D9D9D9"/>
            </w:tcBorders>
            <w:shd w:fill="FFFFFF"/>
          </w:tcPr>
          <w:p>
            <w:pPr>
              <w:spacing w:after="100" w:before="100"/>
            </w:pPr>
            <w:r>
              <w:rPr>
                <w:b w:val="0"/>
                <w:sz w:val="20"/>
              </w:rPr>
              <w:t>Compare integration approaches</w:t>
            </w:r>
          </w:p>
        </w:tc>
        <w:tc>
          <w:tcPr>
            <w:tcW w:type="dxa" w:w="6552"/>
            <w:tcBorders>
              <w:top w:val="single" w:sz="4" w:color="D9D9D9"/>
              <w:left w:val="single" w:sz="4" w:color="D9D9D9"/>
              <w:bottom w:val="single" w:sz="4" w:color="D9D9D9"/>
              <w:right w:val="single" w:sz="4" w:color="D9D9D9"/>
            </w:tcBorders>
            <w:shd w:fill="FFFFFF"/>
          </w:tcPr>
          <w:p>
            <w:pPr>
              <w:spacing w:after="100" w:before="100"/>
            </w:pPr>
            <w:r>
              <w:rPr>
                <w:b w:val="0"/>
                <w:sz w:val="20"/>
              </w:rPr>
              <w:t>Identify common interfaces, orchestration inputs and existing infrastructure constraints for terrestrial and satellite service continuity.</w:t>
            </w:r>
          </w:p>
        </w:tc>
      </w:tr>
      <w:tr>
        <w:trPr/>
        <w:tc>
          <w:tcPr>
            <w:tcW w:type="dxa" w:w="3384"/>
            <w:tcBorders>
              <w:top w:val="single" w:sz="4" w:color="D9D9D9"/>
              <w:left w:val="single" w:sz="4" w:color="D9D9D9"/>
              <w:bottom w:val="single" w:sz="4" w:color="D9D9D9"/>
              <w:right w:val="single" w:sz="4" w:color="D9D9D9"/>
            </w:tcBorders>
            <w:shd w:fill="F5F5F5"/>
          </w:tcPr>
          <w:p>
            <w:pPr>
              <w:spacing w:after="100" w:before="100"/>
            </w:pPr>
            <w:r>
              <w:rPr>
                <w:b w:val="0"/>
                <w:sz w:val="20"/>
              </w:rPr>
              <w:t>Assess coexistence</w:t>
            </w:r>
          </w:p>
        </w:tc>
        <w:tc>
          <w:tcPr>
            <w:tcW w:type="dxa" w:w="6552"/>
            <w:tcBorders>
              <w:top w:val="single" w:sz="4" w:color="D9D9D9"/>
              <w:left w:val="single" w:sz="4" w:color="D9D9D9"/>
              <w:bottom w:val="single" w:sz="4" w:color="D9D9D9"/>
              <w:right w:val="single" w:sz="4" w:color="D9D9D9"/>
            </w:tcBorders>
            <w:shd w:fill="F5F5F5"/>
          </w:tcPr>
          <w:p>
            <w:pPr>
              <w:spacing w:after="100" w:before="100"/>
            </w:pPr>
            <w:r>
              <w:rPr>
                <w:b w:val="0"/>
                <w:sz w:val="20"/>
              </w:rPr>
              <w:t>Study compensation, timing, scheduling and interference for NTN aware and unmodified devices.</w:t>
            </w:r>
          </w:p>
        </w:tc>
      </w:tr>
      <w:tr>
        <w:trPr/>
        <w:tc>
          <w:tcPr>
            <w:tcW w:type="dxa" w:w="3384"/>
            <w:tcBorders>
              <w:top w:val="single" w:sz="4" w:color="D9D9D9"/>
              <w:left w:val="single" w:sz="4" w:color="D9D9D9"/>
              <w:bottom w:val="single" w:sz="4" w:color="D9D9D9"/>
              <w:right w:val="single" w:sz="4" w:color="D9D9D9"/>
            </w:tcBorders>
            <w:shd w:fill="FFFFFF"/>
          </w:tcPr>
          <w:p>
            <w:pPr>
              <w:spacing w:after="100" w:before="100"/>
            </w:pPr>
            <w:r>
              <w:rPr>
                <w:b w:val="0"/>
                <w:sz w:val="20"/>
              </w:rPr>
              <w:t>Evaluate ISAC and adaptive radios</w:t>
            </w:r>
          </w:p>
        </w:tc>
        <w:tc>
          <w:tcPr>
            <w:tcW w:type="dxa" w:w="6552"/>
            <w:tcBorders>
              <w:top w:val="single" w:sz="4" w:color="D9D9D9"/>
              <w:left w:val="single" w:sz="4" w:color="D9D9D9"/>
              <w:bottom w:val="single" w:sz="4" w:color="D9D9D9"/>
              <w:right w:val="single" w:sz="4" w:color="D9D9D9"/>
            </w:tcBorders>
            <w:shd w:fill="FFFFFF"/>
          </w:tcPr>
          <w:p>
            <w:pPr>
              <w:spacing w:after="100" w:before="100"/>
            </w:pPr>
            <w:r>
              <w:rPr>
                <w:b w:val="0"/>
                <w:sz w:val="20"/>
              </w:rPr>
              <w:t>Develop measurable scenarios for sensing informed handover, distributed sensing and physical layer adaptation.</w:t>
            </w:r>
          </w:p>
        </w:tc>
      </w:tr>
      <w:tr>
        <w:trPr/>
        <w:tc>
          <w:tcPr>
            <w:tcW w:type="dxa" w:w="3384"/>
            <w:tcBorders>
              <w:top w:val="single" w:sz="4" w:color="D9D9D9"/>
              <w:left w:val="single" w:sz="4" w:color="D9D9D9"/>
              <w:bottom w:val="single" w:sz="4" w:color="D9D9D9"/>
              <w:right w:val="single" w:sz="4" w:color="D9D9D9"/>
            </w:tcBorders>
            <w:shd w:fill="F5F5F5"/>
          </w:tcPr>
          <w:p>
            <w:pPr>
              <w:spacing w:after="100" w:before="100"/>
            </w:pPr>
            <w:r>
              <w:rPr>
                <w:b w:val="0"/>
                <w:sz w:val="20"/>
              </w:rPr>
              <w:t>Review deployment economics</w:t>
            </w:r>
          </w:p>
        </w:tc>
        <w:tc>
          <w:tcPr>
            <w:tcW w:type="dxa" w:w="6552"/>
            <w:tcBorders>
              <w:top w:val="single" w:sz="4" w:color="D9D9D9"/>
              <w:left w:val="single" w:sz="4" w:color="D9D9D9"/>
              <w:bottom w:val="single" w:sz="4" w:color="D9D9D9"/>
              <w:right w:val="single" w:sz="4" w:color="D9D9D9"/>
            </w:tcBorders>
            <w:shd w:fill="F5F5F5"/>
          </w:tcPr>
          <w:p>
            <w:pPr>
              <w:spacing w:after="100" w:before="100"/>
            </w:pPr>
            <w:r>
              <w:rPr>
                <w:b w:val="0"/>
                <w:sz w:val="20"/>
              </w:rPr>
              <w:t>Compare viable customer segments, spectrum constraints, equipment cost and satellite lifecycle assumptions.</w:t>
            </w:r>
          </w:p>
        </w:tc>
      </w:tr>
    </w:tbl>
    <w:p>
      <w:pPr>
        <w:pStyle w:val="Heading1"/>
      </w:pPr>
      <w:r>
        <w:t>Terminology</w:t>
      </w:r>
    </w:p>
    <w:p>
      <w:r>
        <w:t>AI — Artificial intelligence. ETSI — European Telecommunications Standards Institute. IoT — Internet of Things. ISAC — Integrated sensing and communications. LEO — Low Earth Orbit. MIMO — Multiple Input Multiple Output. NTN — Non Terrestrial Network. UAV — Unmanned Aerial Vehicle. UE — User Equipment. WRC — World Radiocommunication Conference. 3GPP — Third Generation Partnership Project.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