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Must Happen to Enable 6G</w:t>
      </w:r>
    </w:p>
    <w:p>
      <w:r>
        <w:t>Detailed technical interview minutes</w:t>
      </w:r>
    </w:p>
    <w:p>
      <w:r>
        <w:t>The discussion examined what the industry must align for 6G to deliver useful, commercially viable services. The Verizon participant emphasized three priorities: design around real use cases, align spectrum availability with the specifications, and implement a coherent global standard with a practical migration architecture. AI native autonomy, stronger uplink capability, and scalable integrated sensing and communication were central to the proposed direction.</w:t>
      </w:r>
    </w:p>
    <w:p>
      <w:r>
        <w:t>Date and venue: Not stated in the supplied transcript. Format: Interview during the 6G Forum. Participants: An interviewer whose identity is not provided and a Verizon participant addressed as Yago at the close; surname and job title are not stated. These minutes reflect the supplied transcript and do not independently verify numerical claims or standards status.</w:t>
      </w:r>
    </w:p>
    <w:p>
      <w:pPr>
        <w:pStyle w:val="Heading1"/>
      </w:pPr>
      <w:r>
        <w:t>Key outcomes</w:t>
      </w:r>
    </w:p>
    <w:p>
      <w:pPr>
        <w:pStyle w:val="ListBullet"/>
      </w:pPr>
      <w:r>
        <w:t>Shape 6G requirements from use cases such as ISAC and AI wearables, rather than starting only with speed and latency targets.</w:t>
      </w:r>
    </w:p>
    <w:p>
      <w:pPr>
        <w:pStyle w:val="ListBullet"/>
      </w:pPr>
      <w:r>
        <w:t>Ensure spectrum channel sizes and availability can support the intended specification and practical operator deployment.</w:t>
      </w:r>
    </w:p>
    <w:p>
      <w:pPr>
        <w:pStyle w:val="ListBullet"/>
      </w:pPr>
      <w:r>
        <w:t>Maintain a single global standard and avoid an excessive number of migration architecture options.</w:t>
      </w:r>
    </w:p>
    <w:p>
      <w:pPr>
        <w:pStyle w:val="ListBullet"/>
      </w:pPr>
      <w:r>
        <w:t>Use current automation and autonomy work to prepare an operating platform into which 6G functions can be integrated natively.</w:t>
      </w:r>
    </w:p>
    <w:p>
      <w:pPr>
        <w:pStyle w:val="ListBullet"/>
      </w:pPr>
      <w:r>
        <w:t>Treat AI driven uplink growth and wearable power constraints as architectural issues that may require more than incremental radio improvements.</w:t>
      </w:r>
    </w:p>
    <w:p>
      <w:pPr>
        <w:pStyle w:val="ListBullet"/>
      </w:pPr>
      <w:r>
        <w:t>Use early sensing trials to inform a 6G design that can scale sensing while protecting the network’s primary connectivity service.</w:t>
      </w:r>
    </w:p>
    <w:p>
      <w:pPr>
        <w:pStyle w:val="Heading1"/>
      </w:pPr>
      <w:r>
        <w:t>Industry prerequisites for successful 6G</w:t>
      </w:r>
    </w:p>
    <w:p>
      <w:pPr>
        <w:pStyle w:val="Heading2"/>
      </w:pPr>
      <w:r>
        <w:t>Design around use cases</w:t>
      </w:r>
    </w:p>
    <w:p>
      <w:r>
        <w:t>The interviewer asked what the industry must get right for 6G to deliver on its promises. The Verizon participant recommended a bottom up approach, embedding the needs of intended applications into the design from the start. He cited ISAC and AI wearables as examples of work that can clarify what 6G needs to provide.</w:t>
      </w:r>
    </w:p>
    <w:p>
      <w:r>
        <w:t>His concern was that specifying throughput, latency, and other performance targets first, then expecting applications to use those capabilities, would miss an opportunity to build a network suited to concrete service needs. Trial evidence and application requirements should instead inform the technical design.</w:t>
      </w:r>
    </w:p>
    <w:p>
      <w:pPr>
        <w:pStyle w:val="Heading2"/>
      </w:pPr>
      <w:r>
        <w:t>Align spectrum and channelization</w:t>
      </w:r>
    </w:p>
    <w:p>
      <w:r>
        <w:t>The second prerequisite was spectrum. The participant said operators need visibility into spectrum availability in channel sizes aligned with the evolving specifications, ideally with comparable usable blocks for each operator. He recognized that this is difficult across regions.</w:t>
      </w:r>
    </w:p>
    <w:p>
      <w:r>
        <w:t>He described a substantial US spectrum pipeline but questioned whether available allocations could support channels as large as those being considered in 3GPP. The transcript gives no channel bandwidth values, identified bands, or operator allocation plan. The concern was the fit between theoretical specification capability and deployable spectrum resources.</w:t>
      </w:r>
    </w:p>
    <w:p>
      <w:pPr>
        <w:pStyle w:val="Heading2"/>
      </w:pPr>
      <w:r>
        <w:t>A coherent global standard and migration path</w:t>
      </w:r>
    </w:p>
    <w:p>
      <w:r>
        <w:t>The third prerequisite was to complete a uniform global standard that supports use cases and preserves scale for the industry. He also stressed compatibility with capacity already deployed by operators and a migration path that avoids fragmentation.</w:t>
      </w:r>
    </w:p>
    <w:p>
      <w:r>
        <w:t>He criticized the many architectural choices presented during the 5G transition, referring to seven options with relatively few implemented. He linked this complexity to continuing difficulties in the move to 5G standalone and the use of deployed capacity. The exact capacity limitation is unclear in the transcript, so no specific interoperability behavior is inferred.</w:t>
      </w:r>
    </w:p>
    <w:p>
      <w:r>
        <w:t>He said the industry was leaning toward “option one” and expressed support for it as the best compromise. The transcript does not define that option or identify a reference architecture, release, or specification. His recommendation was to agree on a practical approach and implement it consistently.</w:t>
      </w:r>
    </w:p>
    <w:p>
      <w:pPr>
        <w:pStyle w:val="Heading1"/>
      </w:pPr>
      <w:r>
        <w:t>From automation to autonomous operation</w:t>
      </w:r>
    </w:p>
    <w:p>
      <w:pPr>
        <w:pStyle w:val="Heading2"/>
      </w:pPr>
      <w:r>
        <w:t>Current Verizon experience</w:t>
      </w:r>
    </w:p>
    <w:p>
      <w:r>
        <w:t>The interviewer revisited Verizon’s target of Level 4 cognitive automation and asked how today’s AI enabled work could ensure that 6G launches with a largely autonomous operating model. The participant distinguished automation from autonomy: automation executes programmed responses, whereas autonomy can respond to situations for which a response was not explicitly programmed.</w:t>
      </w:r>
    </w:p>
    <w:p>
      <w:r>
        <w:t>He reported approximately 70 million closed loops of automation executed during 2025 and said Verizon was progressing toward Level 4 across domains. These were reported operating figures and objectives; the transcript does not define the loop counting method, domain scope, achieved maturity, or external assessment framework.</w:t>
      </w:r>
    </w:p>
    <w:p>
      <w:pPr>
        <w:pStyle w:val="Heading2"/>
      </w:pPr>
      <w:r>
        <w:t>Legacy OSS and integration challenges</w:t>
      </w:r>
    </w:p>
    <w:p>
      <w:r>
        <w:t>The participant identified legacy operations support systems and a fragmented collection of systems as a major obstacle. Those systems must be prepared to enable and accept autonomous operation. He said progress was being made but did not provide a completion date or a measured integration result.</w:t>
      </w:r>
    </w:p>
    <w:p>
      <w:r>
        <w:t>The intended benefit of AI native 6G is that autonomy would be embedded from the start. Lessons learned while adapting existing functions and systems could be transferred into the 6G design, reducing the need to connect each new network function individually to the autonomous operating platform.</w:t>
      </w:r>
    </w:p>
    <w:p>
      <w:pPr>
        <w:pStyle w:val="Heading2"/>
      </w:pPr>
      <w:r>
        <w:t>Open interfaces and radio integration</w:t>
      </w:r>
    </w:p>
    <w:p>
      <w:r>
        <w:t>He expected open interfaces to make ingestion of 6G functions into that platform faster. For the radio domain, he described an expectation that native alignment with Open RAN specifications could accelerate integration. This was presented as a future design direction, not as a verified final 6G standard requirement.</w:t>
      </w:r>
    </w:p>
    <w:p>
      <w:r>
        <w:t>The operating objective is a network generation that arrives ready for the autonomous platform, with the necessary interfaces and behaviors designed in, rather than autonomy added later as a separate integration effort.</w:t>
      </w:r>
    </w:p>
    <w:p>
      <w:pPr>
        <w:pStyle w:val="Heading1"/>
      </w:pPr>
      <w:r>
        <w:t>AI driven uplink demand</w:t>
      </w:r>
    </w:p>
    <w:p>
      <w:pPr>
        <w:pStyle w:val="Heading2"/>
      </w:pPr>
      <w:r>
        <w:t>From prompts to continuous context</w:t>
      </w:r>
    </w:p>
    <w:p>
      <w:r>
        <w:t>The interviewer described an uplink shift driven by wearables, agents, and physical AI. The participant agreed and contrasted today’s largely transactional AI interaction, in which a user sends a prompt and receives an answer, with a context aware model that continuously receives information about the user’s surroundings.</w:t>
      </w:r>
    </w:p>
    <w:p>
      <w:r>
        <w:t>He envisaged sensing, video, audio, and other real world information being supplied in real time to an AI agent. This could increase uplink traffic substantially. He described a possible movement from strongly downlink weighted ratios, transcribed as roughly 9 to 1 or 8 to 2, toward something closer to 1 to 1. These were directional examples rather than measured traffic forecasts.</w:t>
      </w:r>
    </w:p>
    <w:p>
      <w:pPr>
        <w:pStyle w:val="Heading2"/>
      </w:pPr>
      <w:r>
        <w:t>AI consumption and wearable constraints</w:t>
      </w:r>
    </w:p>
    <w:p>
      <w:r>
        <w:t>The participant argued that AI agents can use multiple high resolution feeds and are less constrained by human viewing time and perception than conventional content consumption. He used this to illustrate a potential expansion in demand, rather than presenting a quantified unlimited processing or transport capability.</w:t>
      </w:r>
    </w:p>
    <w:p>
      <w:r>
        <w:t>Wearables intensify the uplink challenge because their small form factors restrict battery capacity, antenna space, and heat dissipation. The network may need greater uplink capacity while the transmitting device has fewer physical resources to provide it.</w:t>
      </w:r>
    </w:p>
    <w:p>
      <w:r>
        <w:t>He contrasted these constraints with an example of eight transmit antennas or transmit diversity branches on a device, arguing that such an approach may be unsuitable for a small wearable. He encouraged considering devices with only one antenna when evaluating practical uplink solutions.</w:t>
      </w:r>
    </w:p>
    <w:p>
      <w:pPr>
        <w:pStyle w:val="Heading2"/>
      </w:pPr>
      <w:r>
        <w:t>Radio improvements and architectural change</w:t>
      </w:r>
    </w:p>
    <w:p>
      <w:r>
        <w:t>The participant mentioned full duplex and another standards related term transcribed as “SAP” among possible developments that could help. The latter term is unclear and is not expanded in these minutes. He acknowledged other work in the standard but argued that a larger breakthrough might be needed at the architecture and deployment level.</w:t>
      </w:r>
    </w:p>
    <w:p>
      <w:r>
        <w:t>As an illustrative proposal, he suggested fully decoupling uplink and downlink and deploying more uplink receivers close to users. These receivers could reduce the transmission burden on constrained devices while downlink deployment remains more similar to current practice. He explicitly treated this as a possibility requiring evaluation, not a committed or proven architecture.</w:t>
      </w:r>
    </w:p>
    <w:p>
      <w:r>
        <w:t>His conclusion was that the expected uplink requirement is real and may not be satisfied through incremental improvement alone. No specific receiver density, link budget, power reduction, spectrum configuration, or implementation schedule was agreed.</w:t>
      </w:r>
    </w:p>
    <w:p>
      <w:pPr>
        <w:pStyle w:val="Heading1"/>
      </w:pPr>
      <w:r>
        <w:t>ISAC trials and the distinction between 5G and 6G</w:t>
      </w:r>
    </w:p>
    <w:p>
      <w:pPr>
        <w:pStyle w:val="Heading2"/>
      </w:pPr>
      <w:r>
        <w:t>Why sensing can be demonstrated today</w:t>
      </w:r>
    </w:p>
    <w:p>
      <w:r>
        <w:t>The interviewer referenced Verizon trials using 5G Advanced with partners for crowd sensing, drone detection, and environmental awareness. He asked how sensing can be a defining 6G capability if it is already possible in current networks.</w:t>
      </w:r>
    </w:p>
    <w:p>
      <w:r>
        <w:t>The participant explained that sensing relies on radio propagation and reflections from objects. That physical principle is not exclusive to a cellular generation and can be exploited with 5G, 6G, or Wi Fi. Different waveforms can be more or less suitable, but the ability to infer information from reflected energy does not itself establish a need for 6G.</w:t>
      </w:r>
    </w:p>
    <w:p>
      <w:pPr>
        <w:pStyle w:val="Heading2"/>
      </w:pPr>
      <w:r>
        <w:t>The proposed 6G value</w:t>
      </w:r>
    </w:p>
    <w:p>
      <w:r>
        <w:t>He said the distinction should be the ability to support sensing at scale without compromising the primary connectivity function, including network performance and capacity. The intended 6G contribution is native integration that makes sensing easier to deploy, scale, and industrialize alongside communications.</w:t>
      </w:r>
    </w:p>
    <w:p>
      <w:r>
        <w:t>This was a desired design outcome, not evidence that all sensing and communications tradeoffs have been eliminated. The discussion did not provide sensing overhead measurements, service performance results, accuracy values, or an acceptance test for the “no compromise” objective.</w:t>
      </w:r>
    </w:p>
    <w:p>
      <w:pPr>
        <w:pStyle w:val="Heading2"/>
      </w:pPr>
      <w:r>
        <w:t>How early trials inform the design</w:t>
      </w:r>
    </w:p>
    <w:p>
      <w:r>
        <w:t>The participant said 5G is being used for early trials because it is available and can demonstrate the underlying sensing principles. The resulting learning should shape 6G requirements so that sensing can be embedded with less friction and a clearer path to scale.</w:t>
      </w:r>
    </w:p>
    <w:p>
      <w:r>
        <w:t>He connected this capability to a commercial opportunity for operators to provide additional value beyond connectivity. Sensing could support new services and value creation, but the transcript does not identify a selected customer offer, price, or monetization model.</w:t>
      </w:r>
    </w:p>
    <w:p>
      <w:pPr>
        <w:pStyle w:val="Heading1"/>
      </w:pPr>
      <w:r>
        <w:t>Ecosystem collaboration and near term priorities</w:t>
      </w:r>
    </w:p>
    <w:p>
      <w:r>
        <w:t>The interviewer asked for a call to action for partners in the Verizon 6G Innovation Forum and the broader ecosystem. The participant invited regulators, companies, and other actors to explore practical possibilities and then incorporate the resulting learning into the 6G design.</w:t>
      </w:r>
    </w:p>
    <w:p>
      <w:r>
        <w:t>He described a valuable two year window and identified LA 28 as an opportunity to demonstrate what the industry learns. He also referred to being at the end of 2026. Because the meeting date is absent, these statements are retained as speaker framing rather than converted into confirmed deadlines. No event demonstration scope, partner assignment, or delivery commitment was stated.</w:t>
      </w:r>
    </w:p>
    <w:p>
      <w:r>
        <w:t>The closing message was to make 6G ready for successful, monetizable use cases from launch. This requires technical exploration and commercial learning to feed back into specifications, spectrum planning, architecture, and operations.</w:t>
      </w:r>
    </w:p>
    <w:p>
      <w:pPr>
        <w:pStyle w:val="Heading1"/>
      </w:pPr>
      <w:r>
        <w:t>Discussion figures and qualifications</w:t>
      </w:r>
    </w:p>
    <w:tbl>
      <w:tblPr>
        <w:tblW w:type="auto" w:w="0"/>
        <w:tblLayout w:type="fixed"/>
        <w:tblLook w:firstColumn="1" w:firstRow="1" w:lastColumn="0" w:lastRow="0" w:noHBand="0" w:noVBand="1" w:val="04A0"/>
      </w:tblPr>
      <w:tblGrid>
        <w:gridCol w:w="2016"/>
        <w:gridCol w:w="3960"/>
        <w:gridCol w:w="3960"/>
      </w:tblGrid>
      <w:tr>
        <w:trPr>
          <w:tblHeader/>
          <w:cantSplit/>
        </w:trPr>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Item</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Statement in the discussion</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Interpretation</w:t>
            </w:r>
          </w:p>
        </w:tc>
      </w:tr>
      <w:tr>
        <w:trPr>
          <w:cantSplit/>
        </w:trPr>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Automation activity</w:t>
            </w:r>
          </w:p>
        </w:tc>
        <w:tc>
          <w:tcPr>
            <w:tcW w:type="dxa" w:w="39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Approximately 70 million closed loops in 2025</w:t>
            </w:r>
          </w:p>
        </w:tc>
        <w:tc>
          <w:tcPr>
            <w:tcW w:type="dxa" w:w="39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Reported Verizon figure; measurement method not provided.</w:t>
            </w:r>
          </w:p>
        </w:tc>
      </w:tr>
      <w:tr>
        <w:trPr>
          <w:cantSplit/>
        </w:trPr>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Autonomy maturity</w:t>
            </w:r>
          </w:p>
        </w:tc>
        <w:tc>
          <w:tcPr>
            <w:tcW w:type="dxa" w:w="39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Progressing toward Level 4 across domains</w:t>
            </w:r>
          </w:p>
        </w:tc>
        <w:tc>
          <w:tcPr>
            <w:tcW w:type="dxa" w:w="39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Target and progress statement; achieved status not specified.</w:t>
            </w:r>
          </w:p>
        </w:tc>
      </w:tr>
      <w:tr>
        <w:trPr>
          <w:cantSplit/>
        </w:trPr>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Traffic balance</w:t>
            </w:r>
          </w:p>
        </w:tc>
        <w:tc>
          <w:tcPr>
            <w:tcW w:type="dxa" w:w="39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Potential shift from roughly 9 to 1 or 8 to 2 toward 1 to 1</w:t>
            </w:r>
          </w:p>
        </w:tc>
        <w:tc>
          <w:tcPr>
            <w:tcW w:type="dxa" w:w="39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Illustrative downlink and uplink ratios, not validated demand projections.</w:t>
            </w:r>
          </w:p>
        </w:tc>
      </w:tr>
      <w:tr>
        <w:trPr>
          <w:cantSplit/>
        </w:trPr>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Device antennas</w:t>
            </w:r>
          </w:p>
        </w:tc>
        <w:tc>
          <w:tcPr>
            <w:tcW w:type="dxa" w:w="39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Eight transmit branches contrasted with one antenna</w:t>
            </w:r>
          </w:p>
        </w:tc>
        <w:tc>
          <w:tcPr>
            <w:tcW w:type="dxa" w:w="39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Illustration of wearable constraints, not a mandated device design.</w:t>
            </w:r>
          </w:p>
        </w:tc>
      </w:tr>
      <w:tr>
        <w:trPr>
          <w:cantSplit/>
        </w:trPr>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Migration architecture</w:t>
            </w:r>
          </w:p>
        </w:tc>
        <w:tc>
          <w:tcPr>
            <w:tcW w:type="dxa" w:w="39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Preference for “option one”</w:t>
            </w:r>
          </w:p>
        </w:tc>
        <w:tc>
          <w:tcPr>
            <w:tcW w:type="dxa" w:w="39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Option is not defined in the transcript.</w:t>
            </w:r>
          </w:p>
        </w:tc>
      </w:tr>
      <w:tr>
        <w:trPr>
          <w:cantSplit/>
        </w:trPr>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Development window</w:t>
            </w:r>
          </w:p>
        </w:tc>
        <w:tc>
          <w:tcPr>
            <w:tcW w:type="dxa" w:w="39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Approximately two years; LA 28 opportunity</w:t>
            </w:r>
          </w:p>
        </w:tc>
        <w:tc>
          <w:tcPr>
            <w:tcW w:type="dxa" w:w="396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Speaker’s forward looking framing, not an assigned delivery deadline.</w:t>
            </w:r>
          </w:p>
        </w:tc>
      </w:tr>
    </w:tbl>
    <w:p>
      <w:pPr>
        <w:pStyle w:val="Heading1"/>
      </w:pPr>
      <w:r>
        <w:t>Decisions and suggested follow up</w:t>
      </w:r>
    </w:p>
    <w:p>
      <w:r>
        <w:t>No formal decisions, assigned action owners, approved architecture, or firm action deadlines were recorded. The participant presented priorities and preferred directions. The items below are suggested follow up derived from the discussion and were not assigned during the interview.</w:t>
      </w:r>
    </w:p>
    <w:tbl>
      <w:tblPr>
        <w:tblW w:type="auto" w:w="0"/>
        <w:tblLayout w:type="fixed"/>
        <w:tblLook w:firstColumn="1" w:firstRow="1" w:lastColumn="0" w:lastRow="0" w:noHBand="0" w:noVBand="1" w:val="04A0"/>
      </w:tblPr>
      <w:tblGrid>
        <w:gridCol w:w="2592"/>
        <w:gridCol w:w="5328"/>
        <w:gridCol w:w="2016"/>
      </w:tblGrid>
      <w:tr>
        <w:trPr>
          <w:tblHeader/>
          <w:cantSplit/>
        </w:trPr>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Suggested follow up</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Purpose</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Owner and due date</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Convert use cases into requirements</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Capture ISAC and wearable needs in terms of service performance, device constraints, and deployment economics.</w:t>
            </w:r>
          </w:p>
        </w:tc>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Check spectrum fit</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Compare available channel blocks with the emerging specification and practical operator needs.</w:t>
            </w:r>
          </w:p>
        </w:tc>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Clarify the migration option</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Identify the architecture meant by “option one” and assess use of installed capacity.</w:t>
            </w:r>
          </w:p>
        </w:tc>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Define autonomy readiness</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Identify interfaces and OSS changes needed to integrate 6G functions into an autonomous platform.</w:t>
            </w:r>
          </w:p>
        </w:tc>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Evaluate uplink alternatives</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Compare incremental radio improvements with decoupled uplink reception for constrained devices.</w:t>
            </w:r>
          </w:p>
        </w:tc>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Measure sensing coexistence</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Quantify sensing performance and any impact on connectivity capacity and service quality.</w:t>
            </w:r>
          </w:p>
        </w:tc>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Scope a possible LA 28 demonstration</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Translate trial learning into a reviewable demonstration concept if the ecosystem chooses to pursue it.</w:t>
            </w:r>
          </w:p>
        </w:tc>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bl>
    <w:p>
      <w:pPr>
        <w:pStyle w:val="Heading1"/>
      </w:pPr>
      <w:r>
        <w:t>Terminology</w:t>
      </w:r>
    </w:p>
    <w:tbl>
      <w:tblPr>
        <w:tblW w:type="auto" w:w="0"/>
        <w:tblLayout w:type="fixed"/>
        <w:tblLook w:firstColumn="1" w:firstRow="1" w:lastColumn="0" w:lastRow="0" w:noHBand="0" w:noVBand="1" w:val="04A0"/>
      </w:tblPr>
      <w:tblGrid>
        <w:gridCol w:w="2520"/>
        <w:gridCol w:w="7416"/>
      </w:tblGrid>
      <w:tr>
        <w:trPr>
          <w:tblHeader/>
          <w:cantSplit/>
        </w:trPr>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Term</w:t>
            </w:r>
          </w:p>
        </w:tc>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Meaning in the discussion</w:t>
            </w:r>
          </w:p>
        </w:tc>
      </w:tr>
      <w:tr>
        <w:trPr>
          <w:cantSplit/>
        </w:trPr>
        <w:tc>
          <w:tcPr>
            <w:tcW w:type="dxa" w:w="252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ISAC</w:t>
            </w:r>
          </w:p>
        </w:tc>
        <w:tc>
          <w:tcPr>
            <w:tcW w:type="dxa" w:w="74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Integrated sensing and communication</w:t>
            </w:r>
          </w:p>
        </w:tc>
      </w:tr>
      <w:tr>
        <w:trPr>
          <w:cantSplit/>
        </w:trPr>
        <w:tc>
          <w:tcPr>
            <w:tcW w:type="dxa" w:w="252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OSS</w:t>
            </w:r>
          </w:p>
        </w:tc>
        <w:tc>
          <w:tcPr>
            <w:tcW w:type="dxa" w:w="74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Operations support systems</w:t>
            </w:r>
          </w:p>
        </w:tc>
      </w:tr>
      <w:tr>
        <w:trPr>
          <w:cantSplit/>
        </w:trPr>
        <w:tc>
          <w:tcPr>
            <w:tcW w:type="dxa" w:w="252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5G SA</w:t>
            </w:r>
          </w:p>
        </w:tc>
        <w:tc>
          <w:tcPr>
            <w:tcW w:type="dxa" w:w="74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5G standalone</w:t>
            </w:r>
          </w:p>
        </w:tc>
      </w:tr>
      <w:tr>
        <w:trPr>
          <w:cantSplit/>
        </w:trPr>
        <w:tc>
          <w:tcPr>
            <w:tcW w:type="dxa" w:w="252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Open RAN</w:t>
            </w:r>
          </w:p>
        </w:tc>
        <w:tc>
          <w:tcPr>
            <w:tcW w:type="dxa" w:w="74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Open radio access network architecture and interfaces</w:t>
            </w:r>
          </w:p>
        </w:tc>
      </w:tr>
      <w:tr>
        <w:trPr>
          <w:cantSplit/>
        </w:trPr>
        <w:tc>
          <w:tcPr>
            <w:tcW w:type="dxa" w:w="252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Closed loop automation</w:t>
            </w:r>
          </w:p>
        </w:tc>
        <w:tc>
          <w:tcPr>
            <w:tcW w:type="dxa" w:w="74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 feedback driven process that observes conditions and executes a programmed response.</w:t>
            </w:r>
          </w:p>
        </w:tc>
      </w:tr>
      <w:tr>
        <w:trPr>
          <w:cantSplit/>
        </w:trPr>
        <w:tc>
          <w:tcPr>
            <w:tcW w:type="dxa" w:w="252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Autonomy</w:t>
            </w:r>
          </w:p>
        </w:tc>
        <w:tc>
          <w:tcPr>
            <w:tcW w:type="dxa" w:w="74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Ability described by the participant as responding to situations without an explicitly programmed response for each one.</w:t>
            </w:r>
          </w:p>
        </w:tc>
      </w:tr>
      <w:tr>
        <w:trPr>
          <w:cantSplit/>
        </w:trPr>
        <w:tc>
          <w:tcPr>
            <w:tcW w:type="dxa" w:w="252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Uplink and downlink decoupling</w:t>
            </w:r>
          </w:p>
        </w:tc>
        <w:tc>
          <w:tcPr>
            <w:tcW w:type="dxa" w:w="74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Separating the reception and transmission arrangements serving a device rather than requiring both directions to use the same site configuration.</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What Must Happen to Enable 6G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