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NIL Alignment Detailed Meeting Minutes</w:t>
      </w:r>
    </w:p>
    <w:p>
      <w:pPr>
        <w:pStyle w:val="Subtitle"/>
      </w:pPr>
      <w:r>
        <w:t>October 29 2026</w:t>
      </w:r>
    </w:p>
    <w:p>
      <w:r>
        <w:t>The meeting reviewed a Python based AI traffic model intended to improve network simulation and capacity planning. The central finding was that AI traffic varies substantially by workload and application architecture. Participants agreed to continue the discussion the following week, test the findings against the AI grade network work, and examine their relationship to the AI gateway being developed by Ramesh Prabhakaran’s group.</w:t>
      </w:r>
    </w:p>
    <w:p>
      <w:r>
        <w:t>Source and scope: Prepared from the supplied transcript in MIL Alignment-102926.docx. The title uses NIL as requested. The date is inferred from the source filename; the transcript does not state it explicitly. The approximately 30 minute session does not provide a reliable attendance list or consistent speaker labels. Presenter names, some source names, and several numerical definitions require confirmation against the presentation.</w:t>
      </w:r>
    </w:p>
    <w:p>
      <w:pPr>
        <w:pStyle w:val="Heading1"/>
      </w:pPr>
      <w:r>
        <w:t>Meeting purpose and context</w:t>
      </w:r>
    </w:p>
    <w:p>
      <w:r>
        <w:t>The presenter described changes in traffic patterns associated with generative AI adoption and explained why a single aggregate AI traffic category is insufficient for network planning. The work aims to provide realistic packet sizes and timing for system level radio studies and a common way for teams to describe AI workloads.</w:t>
      </w:r>
    </w:p>
    <w:p>
      <w:r>
        <w:t>The opening plan included the AI traffic presentation and an update from Jacob if time and availability permitted. The organizer proposed recording the meeting so people unable to attend could review the presentation. The transcript does not confirm that a recording was completed. The organizer also delegated meeting support while handling a separate legal matter.</w:t>
      </w:r>
    </w:p>
    <w:p>
      <w:pPr>
        <w:pStyle w:val="Heading1"/>
      </w:pPr>
      <w:r>
        <w:t>Traffic growth and changing direction</w:t>
      </w:r>
    </w:p>
    <w:p>
      <w:pPr/>
      <w:r>
        <w:t>This section explains two separate changes discussed by the presenter: growth in total traffic and a change in the share carried in each direction. The explanations and numerical example below clarify the discussion; the example is illustrative and was not a measurement presented at the meeting.</w:t>
      </w:r>
    </w:p>
    <w:p>
      <w:pPr>
        <w:pStyle w:val="Heading2"/>
      </w:pPr>
      <w:r>
        <w:t>Changing balance between downloads and uploads</w:t>
      </w:r>
    </w:p>
    <w:p>
      <w:pPr/>
      <w:r>
        <w:t>Downlink is data sent from the network to a device, such as an AI answer or generated video. Uplink is data sent from a device to the network, such as prompts, images, documents, sensor measurements, or conversation history.</w:t>
      </w:r>
    </w:p>
    <w:p>
      <w:pPr/>
      <w:r>
        <w:t>The presenter referred to internal observations and industry reporting, including the Ericsson Mobility Report, and described a shift from approximately 90 percent downlink and 10 percent uplink toward 75 percent downlink and 25 percent uplink. A 74 and 26 percent split was also mentioned. The transcript does not establish these figures as an AT&amp;T measurement series or identify their exact scope and period.</w:t>
      </w:r>
    </w:p>
    <w:p>
      <w:pPr/>
      <w:r>
        <w:t>For illustration, assume total traffic remains fixed at 100 GB. Under a 90 and 10 percent split, downlink is 90 GB and uplink is 10 GB. Under a 75 and 25 percent split, downlink is 75 GB and uplink is 25 GB.</w:t>
      </w:r>
    </w:p>
    <w:p>
      <w:pPr/>
      <w:r>
        <w:t>In this fixed total example, uplink increases from 10 GB to 25 GB, or 2.5 times, even though total traffic does not increase. Its share rises by 15 percentage points, equivalent to a 150 percent relative increase. The reduction in downlink here results from holding the total constant for illustration; it does not establish that actual downlink traffic will decline.</w:t>
      </w:r>
    </w:p>
    <w:p>
      <w:pPr>
        <w:pStyle w:val="Heading2"/>
      </w:pPr>
      <w:r>
        <w:t>Growth in total traffic</w:t>
      </w:r>
    </w:p>
    <w:p>
      <w:pPr/>
      <w:r>
        <w:t>Separately, the presenter mentioned approximately three times growth under medium AI adoption and potentially five times under stronger adoption. The transcript does not clearly identify the metric, baseline, forecast period, or source behind these multipliers. It is therefore unclear whether they refer to total traffic, AI traffic specifically, uplink demand, or another measure.</w:t>
      </w:r>
    </w:p>
    <w:p>
      <w:pPr>
        <w:pStyle w:val="Heading2"/>
      </w:pPr>
      <w:r>
        <w:t>Meaning of medium and strong AI adoption</w:t>
      </w:r>
    </w:p>
    <w:p>
      <w:pPr/>
      <w:r>
        <w:t>AI adoption means how widely and intensively people, businesses, and devices use AI applications. For traffic analysis, adoption depends on the number of active users and devices, how frequently they use AI, the types and sizes of their inputs and outputs, and how much activity is automated. It is not simply the number of people who have access to an AI service.</w:t>
      </w:r>
    </w:p>
    <w:p>
      <w:pPr/>
      <w:r>
        <w:t>Medium AI adoption describes a scenario in which AI usage grows at a moderate pace and becomes part of some everyday activities, while many activities still use conventional applications. For example, users might ask text questions, summarize documents, or occasionally upload an image. Businesses might introduce AI assistants for selected tasks, with people still initiating most interactions and reviewing the results.</w:t>
      </w:r>
    </w:p>
    <w:p>
      <w:pPr/>
      <w:r>
        <w:t>Strong AI adoption describes a scenario in which AI becomes widespread and is used frequently across more applications, business processes, and devices. Examples include regular image and video analysis, voice interactions, and automated agents making repeated model requests and tool calls. More users, more interactions per user, larger inputs or outputs, and longer automated workflows can together produce substantially greater traffic.</w:t>
      </w:r>
    </w:p>
    <w:p>
      <w:pPr/>
      <w:r>
        <w:t>For a medical AI example, medium adoption could mean a clinician occasionally uploads selected X rays, EKG images, or blood test results for a report. Strong adoption could mean many clinicians use the service throughout the day, across more patients and modalities, with agents requesting additional analyses or follow up information. These are explanatory examples, not scenarios quantified or presented at the meeting.</w:t>
      </w:r>
    </w:p>
    <w:p>
      <w:pPr/>
      <w:r>
        <w:t>The presenter associated medium adoption with an approximately three times growth scenario and stronger adoption with potentially five times growth. However, the transcript does not define user percentages, usage frequency, workload mix, or time horizons for these labels. The explanations above describe their general meaning and should not be treated as the presenter’s formal scenario definitions. Strong adoption also does not automatically mean uplink dominated traffic; the direction still depends on the applications and architecture.</w:t>
      </w:r>
    </w:p>
    <w:p>
      <w:pPr/>
      <w:r>
        <w:t>These growth multipliers should not be combined with the directional percentages to calculate an AT&amp;T forecast without confirming that both describe the same population, time period, and baseline. The three times and five times figures remain reported presentation claims rather than validated capacity planning targets.</w:t>
      </w:r>
    </w:p>
    <w:p>
      <w:pPr>
        <w:pStyle w:val="Heading2"/>
      </w:pPr>
      <w:r>
        <w:t>Why AI can increase uplink demand</w:t>
      </w:r>
    </w:p>
    <w:p>
      <w:pPr/>
      <w:r>
        <w:t>AI workloads can upload much more than a short text prompt. Inputs may include images, video, documents, and sensor information. Agentic workflows can add repeated model requests and tool outputs. If each request resends the accumulated conversation and task history, uplink traffic grows further.</w:t>
      </w:r>
    </w:p>
    <w:p>
      <w:pPr/>
      <w:r>
        <w:t>An explanatory example is the medical AI application using X rays, EKG images, and blood test data. Sending selected inputs to a remote model creates uplink traffic; receiving a text report creates downlink traffic. Repeatedly sending the same inputs together with prior exchanges would increase uplink demand further. This example connects the discussion to a practical application and was not presented as a measured meeting result.</w:t>
      </w:r>
    </w:p>
    <w:p>
      <w:pPr/>
      <w:r>
        <w:t>The actual access network load also depends on where the model runs. A model on the same local network may keep its inference traffic local, whereas accessing a remote model sends that traffic across the intervening network. The medical example therefore assumes a remote service reached through the access connection being evaluated.</w:t>
      </w:r>
    </w:p>
    <w:p>
      <w:pPr>
        <w:pStyle w:val="Heading2"/>
      </w:pPr>
      <w:r>
        <w:t>Why some AI workloads remain downlink intensive</w:t>
      </w:r>
    </w:p>
    <w:p>
      <w:pPr/>
      <w:r>
        <w:t>Higher uplink demand is not universal across AI. A short request for a generated image or video can produce a large download. Multimodal analysis can instead involve a large upload and a relatively small text answer. Network planning must account for the mix of applications rather than applying one uplink ratio to every AI workload.</w:t>
      </w:r>
    </w:p>
    <w:p>
      <w:pPr>
        <w:pStyle w:val="Heading2"/>
      </w:pPr>
      <w:r>
        <w:t>Why timing and burstiness matter</w:t>
      </w:r>
    </w:p>
    <w:p>
      <w:pPr/>
      <w:r>
        <w:t>The same total volume can create different network demands depending on how quickly it arrives and how often it repeats. A human may pause to read an answer or prepare the next question. An automated agent may issue frequent requests and tool calls with much shorter pauses. Large image uploads also create a different pattern from a gradually streamed text response.</w:t>
      </w:r>
    </w:p>
    <w:p>
      <w:pPr/>
      <w:r>
        <w:t>Planning therefore needs to consider total volume, direction, burst size, frequency, and duration of activity. Average byte totals alone do not describe peak demand or opportunities for devices and network components to sleep.</w:t>
      </w:r>
    </w:p>
    <w:p>
      <w:pPr>
        <w:pStyle w:val="Heading2"/>
      </w:pPr>
      <w:r>
        <w:t>Implications for AT&amp;T network planning</w:t>
      </w:r>
    </w:p>
    <w:p>
      <w:pPr/>
      <w:r>
        <w:t>The presenter’s central message was that AI should be represented as several workload patterns. Capacity studies should consider conversational AI, multimodal uploads, generated media, and agentic workflows, along with server retained versus repeatedly transmitted context. Original sources and definitions for the quoted growth figures need confirmation before those figures are adopted as network capacity forecasts.</w:t>
      </w:r>
    </w:p>
    <w:p>
      <w:pPr>
        <w:pStyle w:val="Heading1"/>
      </w:pPr>
      <w:r>
        <w:t>Distinct AI workload patterns</w:t>
      </w:r>
    </w:p>
    <w:p>
      <w:pPr>
        <w:pStyle w:val="ListBullet"/>
      </w:pPr>
      <w:r>
        <w:t>Conversational text AI: A relatively small prompt is uploaded, followed by a server processing interval and a streamed response. The user then reads or considers the response before submitting the next prompt.</w:t>
      </w:r>
    </w:p>
    <w:p>
      <w:pPr>
        <w:pStyle w:val="ListBullet"/>
      </w:pPr>
      <w:r>
        <w:t>Multimodal AI: Images or video may produce a large upload followed by a smaller text answer. A multimodal response can also be large, so directionality depends on both the input and requested output.</w:t>
      </w:r>
    </w:p>
    <w:p>
      <w:pPr>
        <w:pStyle w:val="ListBullet"/>
      </w:pPr>
      <w:r>
        <w:t>Generated media: A short text request can lead to a large image or video download after a processing interval. The presenter cited an example approaching 99 percent downlink for video generation.</w:t>
      </w:r>
    </w:p>
    <w:p>
      <w:pPr>
        <w:pStyle w:val="ListBullet"/>
      </w:pPr>
      <w:r>
        <w:t>Agentic AI: A task can involve repeated model requests, tool calls, accumulated context, and occasional human approval checkpoints. Machine driven exchanges can occur more rapidly than human conversational turns.</w:t>
      </w:r>
    </w:p>
    <w:p>
      <w:r>
        <w:t>The presenter cited examples from published studies ranging from approximately 70 to 30 traffic splits to nearly 50 to 50. The transcript does not consistently establish the direction ordering or measurement scope of these examples, so no application specific ratio is adopted in these minutes.</w:t>
      </w:r>
    </w:p>
    <w:p>
      <w:pPr>
        <w:pStyle w:val="Heading1"/>
      </w:pPr>
      <w:r>
        <w:t>Simulation purpose and implementation</w:t>
      </w:r>
    </w:p>
    <w:p>
      <w:r>
        <w:t>The team uses an in house system level simulator, transcribed as WINGS, for radio related studies. Its usefulness depends partly on whether its traffic models represent the applications being evaluated. Traditional voice and bulk download patterns do not capture all AI interactions.</w:t>
      </w:r>
    </w:p>
    <w:p>
      <w:r>
        <w:t>The new model is implemented in Python and provides configurable parameters. Some parameters are fitted statistically from public benchmark data; others are selected using the team’s judgment where sufficient measurements are unavailable. It generates packet level events, including sizes and timing, for use in network studies.</w:t>
      </w:r>
    </w:p>
    <w:p>
      <w:r>
        <w:t>For conversational AI, the model includes user think time, prompt upload, request queuing and prefill, time to first token, and subsequent token streaming. Multimodal input is also represented. The presenter distinguished the initial processing interval, during which no response tokens are generated, from the later streamed output.</w:t>
      </w:r>
    </w:p>
    <w:p>
      <w:r>
        <w:t>A conversational reference run was described as approximately 500 bytes, or 0.5 KB, in the uplink and 2.3 KB in the downlink, with approximately 21 seconds between prompts. These are scenario values from the presented work, not universal averages for AI applications. The transcript does not define whether the byte counts include all transport overhead.</w:t>
      </w:r>
    </w:p>
    <w:p>
      <w:pPr>
        <w:pStyle w:val="Heading1"/>
      </w:pPr>
      <w:r>
        <w:t>Context handling and uplink amplification</w:t>
      </w:r>
    </w:p>
    <w:p>
      <w:r>
        <w:t>A major part of the presentation compared retaining conversation context on the server with resending accumulated context from the client. In the server retained example, the client sends the new prompt while prior interaction history is maintained by the service. This was illustrated using first party chat services; the minutes record the architecture described in the meeting without treating it as a verified implementation claim for every service.</w:t>
      </w:r>
    </w:p>
    <w:p>
      <w:r>
        <w:t>In the context replay example, each request may include prior messages, tool outputs, and new instructions. The working context grows across successive steps until compaction reduces it, after which growth resumes. This produces a rising and resetting pattern in request volume.</w:t>
      </w:r>
    </w:p>
    <w:p>
      <w:r>
        <w:t>The presenter reported approximately 8.6 times greater uplink volume when context was resent, with an overall range of roughly seven to nine times between the compared architectures. These results depend on the workload and context policy. They were not presented as a universal multiplier for all agentic applications.</w:t>
      </w:r>
    </w:p>
    <w:p>
      <w:r>
        <w:t>An agentic reference case was also described as having approximately 18 times as many uplink bytes as downlink bytes. A faster machine driven interaction cadence was discussed; a roughly 10 second interval was mentioned, but its precise definition is unclear in the transcript. The 18 times directional ratio and the seven to nine times architecture comparison describe different comparisons and should not be combined.</w:t>
      </w:r>
    </w:p>
    <w:p>
      <w:pPr>
        <w:pStyle w:val="Heading1"/>
      </w:pPr>
      <w:r>
        <w:t>Results and validation approach</w:t>
      </w:r>
    </w:p>
    <w:p>
      <w:r>
        <w:t>The presenter discussed distributions for first token delay, uplink volume, session or task volume, and gaps between activity bursts. Reasoning models were described as taking longer to produce the first token than nonreasoning models. Context replay shifted uplink byte distributions toward larger values; one displayed axis was logarithmic.</w:t>
      </w:r>
    </w:p>
    <w:p>
      <w:r>
        <w:t>The reference results contrasted downlink oriented conversational sessions with more uplink intensive agentic tasks. Human participation created longer pauses between bursts, while machine only workflows could sustain more frequent exchanges.</w:t>
      </w:r>
    </w:p>
    <w:p>
      <w:r>
        <w:t>The team calibrated the model against available public benchmark statistics, including the 50th, 90th, 95th, and 99th percentiles. The presenter expressed confidence in the model’s packet level fidelity to those benchmarks. The meeting did not establish independent validation against AT&amp;T production traffic.</w:t>
      </w:r>
    </w:p>
    <w:p>
      <w:r>
        <w:t>Named public data references included Azure, WildChat, and OpenRouter. Other workload and agent trace sources were mentioned, but their names are not reliably recoverable from the transcript. The original slides or a source list are needed to establish a complete bibliography.</w:t>
      </w:r>
    </w:p>
    <w:p>
      <w:pPr>
        <w:pStyle w:val="Heading1"/>
      </w:pPr>
      <w:r>
        <w:t>Possible extension to live traffic emulation</w:t>
      </w:r>
    </w:p>
    <w:p>
      <w:r>
        <w:t>The presenter proposed extending the simulated packet events into a live packet replay or traffic generation capability. Because the model already describes packet sizes and generation times, a future implementation could send corresponding traffic to a destination using transports such as TCP, UDP, or QUIC.</w:t>
      </w:r>
    </w:p>
    <w:p>
      <w:r>
        <w:t>The presenter explicitly described this as requiring nontrivial engineering effort and depending on interest from other teams. The meeting did not approve implementation, assign a development owner, or establish a delivery date. The existing simulation capability should be distinguished from this proposed live emulation extension.</w:t>
      </w:r>
    </w:p>
    <w:p>
      <w:pPr>
        <w:pStyle w:val="Heading1"/>
      </w:pPr>
      <w:r>
        <w:t>On device agents and cellular network implications</w:t>
      </w:r>
    </w:p>
    <w:p>
      <w:r>
        <w:t>A participant asked whether agent location and the access network would materially change the observed traffic pattern. The presenter distinguished external tool calls, such as web searches and database access, from local calls that read device sensors or other internal information.</w:t>
      </w:r>
    </w:p>
    <w:p>
      <w:r>
        <w:t>On device agents may generate frequent exchanges that reduce opportunities for devices and network components to sleep. The presenter identified potential implications for energy efficiency and cellular protocol behavior, particularly where an agent continues initiating activity without human pauses.</w:t>
      </w:r>
    </w:p>
    <w:p>
      <w:r>
        <w:t>Local tool execution does not necessarily eliminate network traffic. If reasoning remains in the cloud, locally collected measurements may still need to be uploaded. The resulting access traffic depends on where the agent, tools, context, and model are placed.</w:t>
      </w:r>
    </w:p>
    <w:p>
      <w:r>
        <w:t>The presenter observed that much current agent activity and tool execution occurs in the cloud and anticipated greater device deployment as computing capabilities improve and models become less costly. The share of agent activity that will traverse cellular access remains an important unresolved modeling input.</w:t>
      </w:r>
    </w:p>
    <w:p>
      <w:pPr>
        <w:pStyle w:val="Heading1"/>
      </w:pPr>
      <w:r>
        <w:t>Consumer and enterprise differences</w:t>
      </w:r>
    </w:p>
    <w:p>
      <w:r>
        <w:t>A participant asked whether the team had identified meaningful differences between consumer and enterprise AI traffic. The presenter could not provide a definitive answer because the available public datasets did not support that segmentation.</w:t>
      </w:r>
    </w:p>
    <w:p>
      <w:r>
        <w:t>The presenter noted that some agent benchmarks emphasize coding tasks. Their representativeness for future cellular agents is uncertain. Internal AT&amp;T data was identified as potentially valuable for benchmarking and instrumentation, but no data access agreement or collection assignment was made.</w:t>
      </w:r>
    </w:p>
    <w:p>
      <w:r>
        <w:t>Other gaps include public cellular agent traces and measured distributions for human approval delays. These limitations affect how confidently the present model can represent operational workloads beyond its calibration data.</w:t>
      </w:r>
    </w:p>
    <w:p>
      <w:pPr>
        <w:pStyle w:val="Heading1"/>
      </w:pPr>
      <w:r>
        <w:t>AT&amp;T AI gateway and stateful proxy discussion</w:t>
      </w:r>
    </w:p>
    <w:p>
      <w:r>
        <w:t>A participant described an AI gateway under development by Ramesh Prabhakaran’s group. The gateway was characterized as a proxy for model access, routing, and tool interactions, located north of the user plane function, or UPF. The underlying framework was transcribed as Light LLM; the exact product or framework name requires confirmation.</w:t>
      </w:r>
    </w:p>
    <w:p>
      <w:r>
        <w:t>The described routing functions included choosing a model automatically from context, honoring an explicitly selected model, and selecting the data center hosting that model. Participants then explored extending the gateway to retain context and support a stateful service.</w:t>
      </w:r>
    </w:p>
    <w:p>
      <w:r>
        <w:t>The proposed benefit was to reduce repeated context transmission over the radio interface by keeping more of the interaction history and orchestration on the network side. The presenter asked whether AT&amp;T itself would hold context, and the participant confirmed this was the concept being explored.</w:t>
      </w:r>
    </w:p>
    <w:p>
      <w:r>
        <w:t>Participants connected model routing with context portability across models. The presenter said the team had considered related intellectual property ideas and stressed that transferring context between models is technically nontrivial. The discussion identified potential value without establishing a completed design or proven implementation.</w:t>
      </w:r>
    </w:p>
    <w:p>
      <w:pPr>
        <w:pStyle w:val="Heading1"/>
      </w:pPr>
      <w:r>
        <w:t>Potential product implications</w:t>
      </w:r>
    </w:p>
    <w:p>
      <w:r>
        <w:t>A participant proposed considering two service approaches: higher upstream capacity for workloads that continue to resend context, and a proxy supported offering that retains context and could require less incremental upstream capacity.</w:t>
      </w:r>
    </w:p>
    <w:p>
      <w:r>
        <w:t>Illustrative examples contrasted an approximately two times upstream offering paired with a proxy service and an approximately eight times upstream offering associated with stateless operation. These were discussion examples, not approved product tiers, validated sizing targets, pricing proposals, or commercial commitments.</w:t>
      </w:r>
    </w:p>
    <w:p>
      <w:r>
        <w:t>The participant clarified that a stateful proxy would not eliminate uplink growth. Its potential value would be to reduce avoidable retransmission while supporting the underlying AI activity. The presenter agreed that both architecture scenarios should be considered.</w:t>
      </w:r>
    </w:p>
    <w:p>
      <w:pPr>
        <w:pStyle w:val="Heading1"/>
      </w:pPr>
      <w:r>
        <w:t>Agreed direction and follow up</w:t>
      </w:r>
    </w:p>
    <w:p>
      <w:pPr>
        <w:pStyle w:val="ListBullet"/>
      </w:pPr>
      <w:r>
        <w:t>Continue the AI traffic discussion at the next weekly meeting. The presenter agreed to return; an exact date was not stated.</w:t>
      </w:r>
    </w:p>
    <w:p>
      <w:pPr>
        <w:pStyle w:val="ListBullet"/>
      </w:pPr>
      <w:r>
        <w:t>Pressure test the model and its implications against the ongoing AI grade network work. The discussion did not name an individual owner or specify a validation plan.</w:t>
      </w:r>
    </w:p>
    <w:p>
      <w:pPr>
        <w:pStyle w:val="ListBullet"/>
      </w:pPr>
      <w:r>
        <w:t>Examine the relationship between the traffic model and Ramesh’s AI gateway solution, including the potential for stateful context handling. No implementation commitment was made.</w:t>
      </w:r>
    </w:p>
    <w:p>
      <w:pPr>
        <w:pStyle w:val="ListBullet"/>
      </w:pPr>
      <w:r>
        <w:t>Include Jacob’s pending update in the next meeting’s planned agenda. No substantive Jacob update is captured in this transcript.</w:t>
      </w:r>
    </w:p>
    <w:p>
      <w:pPr>
        <w:pStyle w:val="ListBullet"/>
      </w:pPr>
      <w:r>
        <w:t>Route further technical questions to the presenter. The presenter offered offline discussion and to share the tool with teams that have a need for it.</w:t>
      </w:r>
    </w:p>
    <w:p>
      <w:pPr>
        <w:pStyle w:val="ListBullet"/>
      </w:pPr>
      <w:r>
        <w:t>Consider additional meeting time if the continued technical discussion and Jacob’s update cannot fit into the regular session. Additional time was offered as an option, not confirmed.</w:t>
      </w:r>
    </w:p>
    <w:p>
      <w:pPr>
        <w:pStyle w:val="Heading1"/>
      </w:pPr>
      <w:r>
        <w:t>Open questions for the continued discussion</w:t>
      </w:r>
    </w:p>
    <w:p>
      <w:pPr>
        <w:pStyle w:val="ListBullet"/>
      </w:pPr>
      <w:r>
        <w:t>Which workloads and context policies best represent AT&amp;T consumer, enterprise, and future on device agent traffic?</w:t>
      </w:r>
    </w:p>
    <w:p>
      <w:pPr>
        <w:pStyle w:val="ListBullet"/>
      </w:pPr>
      <w:r>
        <w:t>What internal measurements can validate packet volumes, activity timing, context replay, and human approval delays?</w:t>
      </w:r>
    </w:p>
    <w:p>
      <w:pPr>
        <w:pStyle w:val="ListBullet"/>
      </w:pPr>
      <w:r>
        <w:t>How much repeated context can the proposed gateway remove from the access path, and how will context move between models?</w:t>
      </w:r>
    </w:p>
    <w:p>
      <w:pPr>
        <w:pStyle w:val="ListBullet"/>
      </w:pPr>
      <w:r>
        <w:t>What changes would be needed to turn the simulator into a live traffic generator, and which team would use it?</w:t>
      </w:r>
    </w:p>
    <w:p>
      <w:pPr>
        <w:pStyle w:val="ListBullet"/>
      </w:pPr>
      <w:r>
        <w:t>How should model results be translated into network planning assumptions and possible service offerings?</w:t>
      </w:r>
    </w:p>
    <w:p>
      <w:r>
        <w:t>No budget, deployment authorization, final product decision, or delivery schedule was established in the supplied transcript.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NIL Alignment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