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AT&amp;T – MediaTek | Detailed Technical Meeting Minutes</w:t>
      </w:r>
    </w:p>
    <w:p>
      <w:r>
        <w:t>AI Traffic Classification • Token-Based Communication • 5G/6G Optimization • Intent-Aware Networking</w:t>
      </w:r>
    </w:p>
    <w:p>
      <w:r>
        <w:t>Meeting reference: raw-ATT-MTX-traffic-classfivction-100226(2).docx  |  Meeting date inferred from filename: October 2, 2026 (not independently confirmed)</w:t>
      </w:r>
    </w:p>
    <w:p>
      <w:r>
        <w:t>Source: 16-page AI-generated transcript. Prepared as structured technical minutes, not a verbatim transcript. Speaker identities and numeric statements are qualified where the transcription is unclear.</w:t>
      </w:r>
    </w:p>
    <w:p>
      <w:pPr>
        <w:pStyle w:val="Heading1"/>
      </w:pPr>
      <w:r>
        <w:t>1. Executive Summary</w:t>
      </w:r>
    </w:p>
    <w:p>
      <w:r>
        <w:t>AT&amp;T and MediaTek reviewed emerging AI application traffic and its implications for cellular networks. AT&amp;T emphasized actionable near-term identification and characterization of AI traffic versus conventional traffic, while MediaTek presented forward-looking token/semantic communication and intent-stratum concepts for 6G. Both sides supported follow-up technical sessions and possible proof-of-concept (POC) collaboration, with additional near-term discussion targeted for November.</w:t>
      </w:r>
    </w:p>
    <w:p>
      <w:r>
        <w:t>Two central traffic patterns were highlighted: progressive uplink payload growth during multi-turn cloud LLM conversations, and high downlink protocol overhead when AI responses are streamed in numerous small chunks. Participants stressed that results vary by model and application, and that the showcased lab traces should not be treated as network-wide benchmarks.</w:t>
      </w:r>
    </w:p>
    <w:p>
      <w:pPr>
        <w:pStyle w:val="Heading1"/>
      </w:pPr>
      <w:r>
        <w:t>2. Meeting Context, Scope, and Expectations</w:t>
      </w:r>
    </w:p>
    <w:p>
      <w:pPr>
        <w:pStyle w:val="ListBullet"/>
      </w:pPr>
      <w:r>
        <w:t>Near term: identify AI traffic, distinguish it from ordinary traffic, characterize behavior, assess existing 5G tools and define measurable KPIs.</w:t>
      </w:r>
    </w:p>
    <w:p>
      <w:pPr>
        <w:pStyle w:val="ListBullet"/>
      </w:pPr>
      <w:r>
        <w:t>Long term: examine semantic/token-aware communication, application-network signaling, AI-aware scheduling and an intent stratum in 6G.</w:t>
      </w:r>
    </w:p>
    <w:p>
      <w:pPr>
        <w:pStyle w:val="ListBullet"/>
      </w:pPr>
      <w:r>
        <w:t>MediaTek characterized the presentation as framework-level research rather than a ready-to-deploy 5G product proposal; product and research specialists were proposed for later deep dives.</w:t>
      </w:r>
    </w:p>
    <w:p>
      <w:pPr>
        <w:pStyle w:val="ListBullet"/>
      </w:pPr>
      <w:r>
        <w:t>Participants agreed that near-term mitigations may reduce symptoms without addressing fundamental architectural limitations.</w:t>
      </w:r>
    </w:p>
    <w:p>
      <w:pPr>
        <w:pStyle w:val="Heading1"/>
      </w:pPr>
      <w:r>
        <w:t>3. AI Applications and Traffic Sources</w:t>
      </w:r>
    </w:p>
    <w:p>
      <w:pPr>
        <w:pStyle w:val="Heading2"/>
      </w:pPr>
      <w:r>
        <w:t>3.1 AR / AI glasses</w:t>
      </w:r>
    </w:p>
    <w:p>
      <w:r>
        <w:t>Camera and sensor uploads, visual context and interactive feedback could generate sustained uplink demand with latency sensitivity. The group cautioned that lightweight glasses face power, heat, battery and compute constraints, limiting full on-device inference.</w:t>
      </w:r>
    </w:p>
    <w:p>
      <w:pPr>
        <w:pStyle w:val="Heading2"/>
      </w:pPr>
      <w:r>
        <w:t>3.2 Smartphone AI assistants and multimodal sessions</w:t>
      </w:r>
    </w:p>
    <w:p>
      <w:r>
        <w:t>Voice, text, images and agentic interactions were considered. Traffic depends on whether inference and agents run on the handset, in the cloud, or in split device–cloud configurations. A cloud-hosted agent exchange may remain within the cloud, while UE-hosted tools can create repeated radio transactions and different UE sleep behavior.</w:t>
      </w:r>
    </w:p>
    <w:p>
      <w:pPr>
        <w:pStyle w:val="Heading2"/>
      </w:pPr>
      <w:r>
        <w:t>3.3 Evidence qualification</w:t>
      </w:r>
    </w:p>
    <w:p>
      <w:r>
        <w:t>The presentation mixed published survey estimates with MediaTek in-house Wireshark traces. Participants requested the original sources, test procedures and broader real-device or field validation. Estimates for emerging devices should not be generalized to deployed-network averages.</w:t>
      </w:r>
    </w:p>
    <w:p>
      <w:pPr>
        <w:pStyle w:val="Heading1"/>
      </w:pPr>
      <w:r>
        <w:t>4. Key Observation A: Multi-Turn Uplink Context Growth</w:t>
      </w:r>
    </w:p>
    <w:p>
      <w:r>
        <w:t>MediaTek described a Gemini chat capture in which a stateless interaction appeared to resend earlier prompts or conversation context with successive turns. The newest user message can be short while the total request payload increases because prior history, new metadata, and occasional recovery/retry information are included. This creates progressively larger uplink bursts and potentially higher UE energy and RAN resource demand.</w:t>
      </w:r>
    </w:p>
    <w:p>
      <w:pPr>
        <w:pStyle w:val="Heading2"/>
      </w:pPr>
      <w:r>
        <w:t>Illustrative example (explanatory, not a measured trace)</w:t>
      </w:r>
    </w:p>
    <w:p>
      <w:r>
        <w:t>Turn 1: “Explain the UPF.” → transmit the new question. Turn 2: “How does it steer AI traffic?” → an application may transmit the earlier question and answer plus the new question. Turn 3: “Give a hospital example.” → it may transmit the accumulated context again plus the new question. In this implementation pattern, UL bytes per turn can grow even when each new question remains short.</w:t>
      </w:r>
    </w:p>
    <w:p>
      <w:pPr>
        <w:pStyle w:val="Heading2"/>
      </w:pPr>
      <w:r>
        <w:t>Proposed research directions</w:t>
      </w:r>
    </w:p>
    <w:p>
      <w:r>
        <w:t>Stateful server-side sessions could preserve prior conversation state so only new/delta content is transmitted; alternatives include semantic compression, token-ID/residual encoding, uplink burst optimization and cross-layer priority hints. Such solutions require application/service-provider participation; they are not automatic features of existing cellular systems.</w:t>
      </w:r>
    </w:p>
    <w:p>
      <w:pPr>
        <w:pStyle w:val="Heading1"/>
      </w:pPr>
      <w:r>
        <w:t>5. Key Observation B: Streaming Downlink and Small-Packet Overhead</w:t>
      </w:r>
    </w:p>
    <w:p>
      <w:r>
        <w:t>Server-Sent Events (SSE) can stream AI answers in small chunks, improving perceived conversational fluency. The tradeoff is a high packet count and protocol overhead across application framing, TCP/QUIC/security and radio layers. The meeting cited approximately 6× downlink volume in one specific internal test; the source transcription around the numeric statement is imperfect, but subsequent discussion repeatedly refers to 6×. This is a single-case observation, not an average or universal multiplier.</w:t>
      </w:r>
    </w:p>
    <w:p>
      <w:pPr>
        <w:pStyle w:val="ListBullet"/>
      </w:pPr>
      <w:r>
        <w:t>Potential impact: lower payload efficiency/spectral efficiency, more scheduler activity, less efficient DRX behavior and higher UE battery consumption.</w:t>
      </w:r>
    </w:p>
    <w:p>
      <w:pPr>
        <w:pStyle w:val="ListBullet"/>
      </w:pPr>
      <w:r>
        <w:t>Potential mitigations: header compression, batching/chunking adjustments where feasible, lower-jitter downlink scheduling and possible future protocol/RAN changes.</w:t>
      </w:r>
    </w:p>
    <w:p>
      <w:pPr>
        <w:pStyle w:val="ListBullet"/>
      </w:pPr>
      <w:r>
        <w:t>Open question: whether major AI services already apply transport/streaming optimizations, and whether application settings could adapt to wide-area network conditions.</w:t>
      </w:r>
    </w:p>
    <w:p>
      <w:pPr>
        <w:pStyle w:val="ListBullet"/>
      </w:pPr>
      <w:r>
        <w:t>Follow-up request: share exact chat settings, traffic traces, packet size distributions and model-to-model comparisons.</w:t>
      </w:r>
    </w:p>
    <w:p>
      <w:pPr>
        <w:pStyle w:val="Heading1"/>
      </w:pPr>
      <w:r>
        <w:t>6. AI Traffic Classification and Differentiated Treatment</w:t>
      </w:r>
    </w:p>
    <w:p>
      <w:r>
        <w:t>AT&amp;T focused on identifying AI traffic reliably before attempting differentiated treatment. One candidate path is device/application recognition followed by URSP-assisted steering or selection of a suitable PDU session and QoS treatment, conceptually separating AI flows from generic eMBB traffic. This was discussed as an opportunity, not an agreed deployment design.</w:t>
      </w:r>
    </w:p>
    <w:p>
      <w:pPr>
        <w:pStyle w:val="Heading2"/>
      </w:pPr>
      <w:r>
        <w:t>6.1 Device-side classification</w:t>
      </w:r>
    </w:p>
    <w:p>
      <w:r>
        <w:t>Possible inputs include application identity, application-declared service category, local model/agent activity, modality and UE assistance information. Device/OS integration is needed to expose reliable information, and the OS ecosystem remains a substantial deployment dependency.</w:t>
      </w:r>
    </w:p>
    <w:p>
      <w:pPr>
        <w:pStyle w:val="Heading2"/>
      </w:pPr>
      <w:r>
        <w:t>6.2 Network-side classification</w:t>
      </w:r>
    </w:p>
    <w:p>
      <w:r>
        <w:t>Observable metadata such as directionality, flow timing, uplink burst progression, downlink packet sizes, idle intervals and UL/DL ratios could support statistical classification. Encryption and shrinking visibility into SNI/application semantics limit the reliability of payload-independent classification; no concrete classifier, accuracy figure or feature thresholds were validated in the meeting.</w:t>
      </w:r>
    </w:p>
    <w:p>
      <w:pPr>
        <w:pStyle w:val="Heading2"/>
      </w:pPr>
      <w:r>
        <w:t>6.3 Hybrid classification</w:t>
      </w:r>
    </w:p>
    <w:p>
      <w:r>
        <w:t>A potential collaboration path combines coarse device/application hints with measurable encrypted-traffic behavior, then maps validated classes to network policy. The exact interface, security model, policy decisions and 3GPP support require further study.</w:t>
      </w:r>
    </w:p>
    <w:p>
      <w:pPr>
        <w:pStyle w:val="Heading1"/>
      </w:pPr>
      <w:r>
        <w:t>7. 5G Mitigation Options and Practical Limits</w:t>
      </w:r>
    </w:p>
    <w:p>
      <w:pPr>
        <w:pStyle w:val="ListBullet"/>
      </w:pPr>
      <w:r>
        <w:t>Increase or optimize uplink capacity to mitigate context-heavy prompts and sensor traffic; this addresses capacity pressure but not repeated-context inefficiency.</w:t>
      </w:r>
    </w:p>
    <w:p>
      <w:pPr>
        <w:pStyle w:val="ListBullet"/>
      </w:pPr>
      <w:r>
        <w:t>Evaluate configured-grant/grant-free uplink mechanisms and context-aware scheduling; benefit requires quantitative testing.</w:t>
      </w:r>
    </w:p>
    <w:p>
      <w:pPr>
        <w:pStyle w:val="ListBullet"/>
      </w:pPr>
      <w:r>
        <w:t>Consider mini-slot and low-jitter scheduling for streaming downlink, subject to UE/network capabilities and implementation complexity.</w:t>
      </w:r>
    </w:p>
    <w:p>
      <w:pPr>
        <w:pStyle w:val="ListBullet"/>
      </w:pPr>
      <w:r>
        <w:t>Explore on-device audio/vision inference and edge/split inference to reduce radio transmissions; balance compute, thermal and battery costs.</w:t>
      </w:r>
    </w:p>
    <w:p>
      <w:pPr>
        <w:pStyle w:val="ListBullet"/>
      </w:pPr>
      <w:r>
        <w:t>Assess URSP/QoS steering after reliable identification rather than assuming encrypted OTT traffic can be classified by the RAN.</w:t>
      </w:r>
    </w:p>
    <w:p>
      <w:pPr>
        <w:pStyle w:val="Heading1"/>
      </w:pPr>
      <w:r>
        <w:t>8. Semantic Communication, Token Importance and Reliability</w:t>
      </w:r>
    </w:p>
    <w:p>
      <w:r>
        <w:t>MediaTek discussed semantic encoding in which not every encoded information unit has the same importance to the reconstructed result. The cited experiments related particularly to AI-encoded image information and selective dropping, not a demonstrated priority rule for ordinary ChatGPT text tokens. Participants challenged whether network scheduling could know token importance when tokenization typically occurs in the cloud and traffic is encrypted.</w:t>
      </w:r>
    </w:p>
    <w:p>
      <w:r>
        <w:t>Potential longer-term research topics include semantic-aware retransmission, partial delivery, token-aware scheduling, unequal protection, semantic noise/content mismatch and joint DRX/token design. These are exploratory proposals; no standardized semantic HARQ or deployed token-aware scheduler was established.</w:t>
      </w:r>
    </w:p>
    <w:p>
      <w:pPr>
        <w:pStyle w:val="Heading1"/>
      </w:pPr>
      <w:r>
        <w:t>9. Proposed Token / Semantic Communication Layer</w:t>
      </w:r>
    </w:p>
    <w:p>
      <w:r>
        <w:t>A conceptual layer between the application and transport stack was discussed to convey semantic characteristics and coordinate endpoint processing. For split computation, client-side processing and OS/modem interfaces might be necessary. AT&amp;T questioned feasibility because mobile OS vendors historically have not consistently exposed application-layer intent to network functions; URSP implementation experience was cited as a cautionary example.</w:t>
      </w:r>
    </w:p>
    <w:p>
      <w:pPr>
        <w:pStyle w:val="Heading1"/>
      </w:pPr>
      <w:r>
        <w:t>10. Intent Stratum and Architecture Options</w:t>
      </w:r>
    </w:p>
    <w:p>
      <w:r>
        <w:t>MediaTek introduced an intent stratum intended to translate user/application objectives into a network-facing syntax or API. Potential transactions include request, negotiation, response and delivery, leading to dynamic PDU session/QoS handling and possibly UE assistance and RRC-related adaptations. This concept goes beyond labeling AI traffic and would require standards and ecosystem alignment.</w:t>
      </w:r>
    </w:p>
    <w:p>
      <w:pPr>
        <w:pStyle w:val="ListBullet"/>
      </w:pPr>
      <w:r>
        <w:t>Evolutionary option: use existing PDU sessions, UPF path and QoS-flow mechanisms, enhanced by intent-derived policy.</w:t>
      </w:r>
    </w:p>
    <w:p>
      <w:pPr>
        <w:pStyle w:val="ListBullet"/>
      </w:pPr>
      <w:r>
        <w:t>More ambitious option: introduce distinct intent signaling/session semantics or separate control-plane treatment.</w:t>
      </w:r>
    </w:p>
    <w:p>
      <w:pPr>
        <w:pStyle w:val="ListBullet"/>
      </w:pPr>
      <w:r>
        <w:t>Access-stratum question: should intent influence QoS-flow-to-DRB mapping and RAN scheduling, or remain largely UE/core-facing?</w:t>
      </w:r>
    </w:p>
    <w:p>
      <w:pPr>
        <w:pStyle w:val="ListBullet"/>
      </w:pPr>
      <w:r>
        <w:t>Standardization caution: participants reported limited RAN2 appetite for AI-specific changes; MediaTek referred to SA/system architecture discussions and said direct intent-to-RAN proposals had strong resistance.</w:t>
      </w:r>
    </w:p>
    <w:p>
      <w:pPr>
        <w:pStyle w:val="ListBullet"/>
      </w:pPr>
      <w:r>
        <w:t>Operator feedback requested: assess feasibility, cost, standards path and migration strategy. No architectural option was selected.</w:t>
      </w:r>
    </w:p>
    <w:p>
      <w:pPr>
        <w:pStyle w:val="Heading1"/>
      </w:pPr>
      <w:r>
        <w:t>11. Standards and Ecosystem Dependencies</w:t>
      </w:r>
    </w:p>
    <w:p>
      <w:r>
        <w:t>The discussion identified dependencies on 3GPP RAN and SA work, OS providers, modem/device vendors, OTT AI platforms and cloud providers. Encryption reduces network visibility; tokenization may happen server-side; OS integration may constrain application-aware URSP and signaling. Participants suggested engaging the appropriate MediaTek research and system architecture specialists before making standardization claims or finalizing a POC design.</w:t>
      </w:r>
    </w:p>
    <w:p>
      <w:pPr>
        <w:pStyle w:val="Heading1"/>
      </w:pPr>
      <w:r>
        <w:t>12. Key Questions Raised / Unresolved</w:t>
      </w:r>
    </w:p>
    <w:p>
      <w:pPr>
        <w:pStyle w:val="ListBullet"/>
      </w:pPr>
      <w:r>
        <w:t>What percentage of AI agent transactions are UE-originated versus cloud-internal, for representative applications?</w:t>
      </w:r>
    </w:p>
    <w:p>
      <w:pPr>
        <w:pStyle w:val="ListBullet"/>
      </w:pPr>
      <w:r>
        <w:t>Which uplink-context and downlink-streaming behaviors generalize beyond the demonstrated Gemini trace?</w:t>
      </w:r>
    </w:p>
    <w:p>
      <w:pPr>
        <w:pStyle w:val="ListBullet"/>
      </w:pPr>
      <w:r>
        <w:t>What are the exact experimental settings, source datasets and definitions behind quoted traffic multipliers?</w:t>
      </w:r>
    </w:p>
    <w:p>
      <w:pPr>
        <w:pStyle w:val="ListBullet"/>
      </w:pPr>
      <w:r>
        <w:t>Which encrypted-flow features remain observable and sufficiently distinctive for AI traffic identification?</w:t>
      </w:r>
    </w:p>
    <w:p>
      <w:pPr>
        <w:pStyle w:val="ListBullet"/>
      </w:pPr>
      <w:r>
        <w:t>Can applications or operating systems supply trustworthy service-class hints without exposing user content?</w:t>
      </w:r>
    </w:p>
    <w:p>
      <w:pPr>
        <w:pStyle w:val="ListBullet"/>
      </w:pPr>
      <w:r>
        <w:t>How should a validated AI class map to URSP, PDU session, QoS flow, scheduler behavior or other treatment?</w:t>
      </w:r>
    </w:p>
    <w:p>
      <w:pPr>
        <w:pStyle w:val="ListBullet"/>
      </w:pPr>
      <w:r>
        <w:t>What KPIs demonstrate benefits without increasing UE energy or reducing service quality?</w:t>
      </w:r>
    </w:p>
    <w:p>
      <w:pPr>
        <w:pStyle w:val="ListBullet"/>
      </w:pPr>
      <w:r>
        <w:t>Which intent architecture has a viable standards path and realistic OS/vendor support?</w:t>
      </w:r>
    </w:p>
    <w:p>
      <w:pPr>
        <w:pStyle w:val="Heading1"/>
      </w:pPr>
      <w:r>
        <w:t>13. Proposed POC / Technical Follow-Up (Discussion-Derived, Not Approved Scope)</w:t>
      </w:r>
    </w:p>
    <w:p>
      <w:r>
        <w:t>A practical initial POC could collect repeatable traces for text LLM, streamed responses, multimodal requests and agentic sessions across several AI services, with controlled non-AI baselines. Characterize uplink/downlink bytes, packet size distributions, burst size, inter-arrival gaps, idle periods, transaction latency and session growth. Compare a metadata-only classifier against a device-hinted hybrid classifier, then evaluate whether validated traffic classes can receive different URSP/QoS treatment. This paragraph is a synthesis of meeting interests, not a formally committed design.</w:t>
      </w:r>
    </w:p>
    <w:p>
      <w:pPr>
        <w:pStyle w:val="Heading1"/>
      </w:pPr>
      <w:r>
        <w:t>14. Action Items and Follow-Up Ownership</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Owner / group</w:t>
            </w:r>
          </w:p>
        </w:tc>
        <w:tc>
          <w:tcPr>
            <w:tcW w:type="dxa" w:w="2880"/>
          </w:tcPr>
          <w:p>
            <w:r>
              <w:t>Action</w:t>
            </w:r>
          </w:p>
        </w:tc>
        <w:tc>
          <w:tcPr>
            <w:tcW w:type="dxa" w:w="2880"/>
          </w:tcPr>
          <w:p>
            <w:r>
              <w:t>Status</w:t>
            </w:r>
          </w:p>
        </w:tc>
      </w:tr>
      <w:tr>
        <w:tc>
          <w:tcPr>
            <w:tcW w:type="dxa" w:w="2880"/>
          </w:tcPr>
          <w:p>
            <w:r>
              <w:t>MediaTek research team</w:t>
            </w:r>
          </w:p>
        </w:tc>
        <w:tc>
          <w:tcPr>
            <w:tcW w:type="dxa" w:w="2880"/>
          </w:tcPr>
          <w:p>
            <w:r>
              <w:t>Provide Wireshark methodology, raw/aggregated traffic evidence and additional LLM examples.</w:t>
            </w:r>
          </w:p>
        </w:tc>
        <w:tc>
          <w:tcPr>
            <w:tcW w:type="dxa" w:w="2880"/>
          </w:tcPr>
          <w:p>
            <w:r>
              <w:t>Proposed</w:t>
            </w:r>
          </w:p>
        </w:tc>
      </w:tr>
      <w:tr>
        <w:tc>
          <w:tcPr>
            <w:tcW w:type="dxa" w:w="2880"/>
          </w:tcPr>
          <w:p>
            <w:r>
              <w:t>MediaTek / Singapore measurement team</w:t>
            </w:r>
          </w:p>
        </w:tc>
        <w:tc>
          <w:tcPr>
            <w:tcW w:type="dxa" w:w="2880"/>
          </w:tcPr>
          <w:p>
            <w:r>
              <w:t>Clarify agent execution placement, Gemini test setup and SSE conditions.</w:t>
            </w:r>
          </w:p>
        </w:tc>
        <w:tc>
          <w:tcPr>
            <w:tcW w:type="dxa" w:w="2880"/>
          </w:tcPr>
          <w:p>
            <w:r>
              <w:t>Proposed</w:t>
            </w:r>
          </w:p>
        </w:tc>
      </w:tr>
      <w:tr>
        <w:tc>
          <w:tcPr>
            <w:tcW w:type="dxa" w:w="2880"/>
          </w:tcPr>
          <w:p>
            <w:r>
              <w:t>MediaTek</w:t>
            </w:r>
          </w:p>
        </w:tc>
        <w:tc>
          <w:tcPr>
            <w:tcW w:type="dxa" w:w="2880"/>
          </w:tcPr>
          <w:p>
            <w:r>
              <w:t>Separate literature estimates from internally measured and field-observed data.</w:t>
            </w:r>
          </w:p>
        </w:tc>
        <w:tc>
          <w:tcPr>
            <w:tcW w:type="dxa" w:w="2880"/>
          </w:tcPr>
          <w:p>
            <w:r>
              <w:t>Proposed</w:t>
            </w:r>
          </w:p>
        </w:tc>
      </w:tr>
      <w:tr>
        <w:tc>
          <w:tcPr>
            <w:tcW w:type="dxa" w:w="2880"/>
          </w:tcPr>
          <w:p>
            <w:r>
              <w:t>AT&amp;T + MediaTek</w:t>
            </w:r>
          </w:p>
        </w:tc>
        <w:tc>
          <w:tcPr>
            <w:tcW w:type="dxa" w:w="2880"/>
          </w:tcPr>
          <w:p>
            <w:r>
              <w:t>Define candidate AI traffic identification features and measurable KPIs.</w:t>
            </w:r>
          </w:p>
        </w:tc>
        <w:tc>
          <w:tcPr>
            <w:tcW w:type="dxa" w:w="2880"/>
          </w:tcPr>
          <w:p>
            <w:r>
              <w:t>Proposed</w:t>
            </w:r>
          </w:p>
        </w:tc>
      </w:tr>
      <w:tr>
        <w:tc>
          <w:tcPr>
            <w:tcW w:type="dxa" w:w="2880"/>
          </w:tcPr>
          <w:p>
            <w:r>
              <w:t>AT&amp;T + MediaTek</w:t>
            </w:r>
          </w:p>
        </w:tc>
        <w:tc>
          <w:tcPr>
            <w:tcW w:type="dxa" w:w="2880"/>
          </w:tcPr>
          <w:p>
            <w:r>
              <w:t>Evaluate a near-term AI classification / differentiated-treatment POC, potentially with URSP/QoS.</w:t>
            </w:r>
          </w:p>
        </w:tc>
        <w:tc>
          <w:tcPr>
            <w:tcW w:type="dxa" w:w="2880"/>
          </w:tcPr>
          <w:p>
            <w:r>
              <w:t>Proposed</w:t>
            </w:r>
          </w:p>
        </w:tc>
      </w:tr>
      <w:tr>
        <w:tc>
          <w:tcPr>
            <w:tcW w:type="dxa" w:w="2880"/>
          </w:tcPr>
          <w:p>
            <w:r>
              <w:t>MediaTek ecosystem team</w:t>
            </w:r>
          </w:p>
        </w:tc>
        <w:tc>
          <w:tcPr>
            <w:tcW w:type="dxa" w:w="2880"/>
          </w:tcPr>
          <w:p>
            <w:r>
              <w:t>Explore feasible OS and AI-provider collaboration and what may be shared at the November roadshow.</w:t>
            </w:r>
          </w:p>
        </w:tc>
        <w:tc>
          <w:tcPr>
            <w:tcW w:type="dxa" w:w="2880"/>
          </w:tcPr>
          <w:p>
            <w:r>
              <w:t>Under internal review</w:t>
            </w:r>
          </w:p>
        </w:tc>
      </w:tr>
      <w:tr>
        <w:tc>
          <w:tcPr>
            <w:tcW w:type="dxa" w:w="2880"/>
          </w:tcPr>
          <w:p>
            <w:r>
              <w:t>MediaTek SA specialists + AT&amp;T</w:t>
            </w:r>
          </w:p>
        </w:tc>
        <w:tc>
          <w:tcPr>
            <w:tcW w:type="dxa" w:w="2880"/>
          </w:tcPr>
          <w:p>
            <w:r>
              <w:t>Deep dive on intent stratum options and standards feasibility.</w:t>
            </w:r>
          </w:p>
        </w:tc>
        <w:tc>
          <w:tcPr>
            <w:tcW w:type="dxa" w:w="2880"/>
          </w:tcPr>
          <w:p>
            <w:r>
              <w:t>Proposed</w:t>
            </w:r>
          </w:p>
        </w:tc>
      </w:tr>
      <w:tr>
        <w:tc>
          <w:tcPr>
            <w:tcW w:type="dxa" w:w="2880"/>
          </w:tcPr>
          <w:p>
            <w:r>
              <w:t>Joint team</w:t>
            </w:r>
          </w:p>
        </w:tc>
        <w:tc>
          <w:tcPr>
            <w:tcW w:type="dxa" w:w="2880"/>
          </w:tcPr>
          <w:p>
            <w:r>
              <w:t>Hold follow-up sessions emphasizing near-term deliverables and longer-term research separation.</w:t>
            </w:r>
          </w:p>
        </w:tc>
        <w:tc>
          <w:tcPr>
            <w:tcW w:type="dxa" w:w="2880"/>
          </w:tcPr>
          <w:p>
            <w:r>
              <w:t>Agreed direction</w:t>
            </w:r>
          </w:p>
        </w:tc>
      </w:tr>
    </w:tbl>
    <w:p>
      <w:pPr>
        <w:pStyle w:val="Heading1"/>
      </w:pPr>
      <w:r>
        <w:t>15. Conclusions</w:t>
      </w:r>
    </w:p>
    <w:p>
      <w:r>
        <w:t>The meeting did not finalize a 5G solution or select a 6G intent architecture. It did establish a shared priority: characterize AI traffic rigorously, determine what can be identified despite encryption, and translate the findings into practical operator experiments. The November follow-up was positioned to focus more closely on near-term opportunities, new KPIs, ecosystem participation and possible collaboration/POC work.</w:t>
      </w:r>
    </w:p>
    <w:p>
      <w:r>
        <w:t>Document integrity note: No formal attendee roster, confirmed owners, deadlines or approved decisions were provided in the transcript. Names and technical terms are occasionally mis-transcribed; these minutes preserve the substance while avoiding unsupported certainty.</w:t>
      </w:r>
    </w:p>
    <w:sectPr w:rsidR="00FC693F" w:rsidRPr="0006063C" w:rsidSect="00034616">
      <w:footerReference w:type="default" r:id="rId9"/>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AT&amp;T – MediaTek | Technical Meeting Minutes | Prepared from supplied transcript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416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416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416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