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3GPP AI Progress for the 6G Core</w:t>
      </w:r>
    </w:p>
    <w:p>
      <w:pPr>
        <w:pStyle w:val="Subtitle"/>
      </w:pPr>
      <w:r>
        <w:t>Detailed technical session minutes</w:t>
      </w:r>
    </w:p>
    <w:p>
      <w:r>
        <w:t>The session reviewed the industry direction for the 6G core and the AI architecture work being studied in 3GPP SA2. Its central conclusion was that the architecture remains unsettled: participants described competing evolutionary and multi-agent approaches, with future agreement expected to depend on business value, technical evidence, interoperability, and operator control of AI autonomy.</w:t>
      </w:r>
    </w:p>
    <w:p>
      <w:pPr>
        <w:pStyle w:val="Heading1"/>
      </w:pPr>
      <w:r>
        <w:t>1 Session information and source limitations</w:t>
      </w:r>
    </w:p>
    <w:p>
      <w:r>
        <w:t>Source: raw-3gpp AI progress for 6g.docx, supplied by the user. These minutes summarize the recorded presentations and audience discussion; they do not independently verify the current status of 3GPP specifications or schedules.</w:t>
      </w:r>
    </w:p>
    <w:p>
      <w:pPr>
        <w:pStyle w:val="ListBullet"/>
      </w:pPr>
      <w:r>
        <w:t>Meeting date, forum title, venue, and exact start and end times are not identified in the supplied transcript. Relative references such as “next week” cannot be converted into calendar dates.</w:t>
      </w:r>
    </w:p>
    <w:p>
      <w:pPr>
        <w:pStyle w:val="ListBullet"/>
      </w:pPr>
      <w:r>
        <w:t>Moderator: Sean, as addressed during the discussion; surname not established.</w:t>
      </w:r>
    </w:p>
    <w:p>
      <w:pPr>
        <w:pStyle w:val="ListBullet"/>
      </w:pPr>
      <w:r>
        <w:t>Presenter: Stephen “Steve” Douglas, Keysight Technologies. He described his role as heading strategic thought leadership.</w:t>
      </w:r>
    </w:p>
    <w:p>
      <w:pPr>
        <w:pStyle w:val="ListBullet"/>
      </w:pPr>
      <w:r>
        <w:t>Presenter: a DOCOMO Euro-Labs representative and SA2 delegate. The transcript renders his name inconsistently, so the full name requires confirmation.</w:t>
      </w:r>
    </w:p>
    <w:p>
      <w:pPr>
        <w:pStyle w:val="ListBullet"/>
      </w:pPr>
      <w:r>
        <w:t>Format: two presentations of approximately ten minutes each, followed by moderated questions. No formal voting, assigned action owners, or delivery commitments were recorded.</w:t>
      </w:r>
    </w:p>
    <w:p>
      <w:r>
        <w:t>Transcription corrections: obvious speech-to-text errors have been normalized to 6G, 3GPP, SA2, UPF, AMF, ISAC, NTN, post-quantum cryptography, and intent-driven networking. Ambiguous names and document identifiers are retained with qualifications rather than silently resolved.</w:t>
      </w:r>
    </w:p>
    <w:p>
      <w:pPr>
        <w:pStyle w:val="Heading1"/>
      </w:pPr>
      <w:r>
        <w:t>2 Executive summary</w:t>
      </w:r>
    </w:p>
    <w:p>
      <w:pPr>
        <w:pStyle w:val="ListBullet"/>
      </w:pPr>
      <w:r>
        <w:t>The speakers argued for standalone 6G from initial deployment, with a dedicated 6G core, to avoid the delayed realization of architectural benefits experienced during the 5G non-standalone to standalone transition.</w:t>
      </w:r>
    </w:p>
    <w:p>
      <w:pPr>
        <w:pStyle w:val="ListBullet"/>
      </w:pPr>
      <w:r>
        <w:t>The emerging direction combines reuse of suitable 5G core functions with new capabilities for AI, sensing, computing, and terrestrial and non-terrestrial service continuity.</w:t>
      </w:r>
    </w:p>
    <w:p>
      <w:pPr>
        <w:pStyle w:val="ListBullet"/>
      </w:pPr>
      <w:r>
        <w:t>3GPP’s AI role was described as standardizing architecture, interfaces, and procedures, rather than specific AI models or learning algorithms.</w:t>
      </w:r>
    </w:p>
    <w:p>
      <w:pPr>
        <w:pStyle w:val="ListBullet"/>
      </w:pPr>
      <w:r>
        <w:t>AI study directions include intent fulfillment, intelligence within network functions, closed-loop operations, operator monitoring and control, and interoperability and roaming.</w:t>
      </w:r>
    </w:p>
    <w:p>
      <w:pPr>
        <w:pStyle w:val="ListBullet"/>
      </w:pPr>
      <w:r>
        <w:t>The main unresolved architectural choice is between a more fundamental multi-agent core and incremental enhancement of the 5G service-based architecture.</w:t>
      </w:r>
    </w:p>
    <w:p>
      <w:pPr>
        <w:pStyle w:val="ListBullet"/>
      </w:pPr>
      <w:r>
        <w:t>Both business demand and technical necessity can justify new functions. Prototyping and testing were identified as useful evidence for decisions that affect cost and migration complexity.</w:t>
      </w:r>
    </w:p>
    <w:p>
      <w:pPr>
        <w:pStyle w:val="ListBullet"/>
      </w:pPr>
      <w:r>
        <w:t>AI autonomy needs guardrails, detection of adverse effects, safe fallback, and mechanisms to reduce autonomy when performance or other requirements are threatened.</w:t>
      </w:r>
    </w:p>
    <w:p>
      <w:pPr>
        <w:pStyle w:val="Heading1"/>
      </w:pPr>
      <w:r>
        <w:t>3 Industry schedule and dependencies</w:t>
      </w:r>
    </w:p>
    <w:p>
      <w:r>
        <w:t>Steve Douglas described the 6G schedule as compressed, with standards, architecture, silicon, devices, and viable use cases needing to mature in parallel. He referenced the 2028 Los Angeles Olympics as a possible showcase for early demonstrators and 2029 as a possible starting point for commercial systems. These were presentation expectations, not deployment commitments.</w:t>
      </w:r>
    </w:p>
    <w:tbl>
      <w:tblPr>
        <w:tblW w:type="auto" w:w="0"/>
        <w:tblLayout w:type="fixed"/>
        <w:tblLook w:firstColumn="1" w:firstRow="1" w:lastColumn="0" w:lastRow="0" w:noHBand="0" w:noVBand="1" w:val="04A0"/>
      </w:tblPr>
      <w:tblGrid>
        <w:gridCol w:w="3888"/>
        <w:gridCol w:w="1872"/>
        <w:gridCol w:w="4176"/>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Milestone described</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Timeframe stated</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Qualification</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Meaningful SA2 architecture study milestone</w:t>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March 2027</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Speaker’s stated study target</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Approximately 80 percent of stage two normative work</w:t>
            </w:r>
          </w:p>
        </w:tc>
        <w:tc>
          <w:tcPr>
            <w:tcW w:type="dxa" w:w="187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March 2028</w:t>
            </w:r>
          </w:p>
        </w:tc>
        <w:tc>
          <w:tcPr>
            <w:tcW w:type="dxa" w:w="417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Potential completion point described</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Full stage two freeze</w:t>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June 2028</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Presentation schedule</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Full normative completion across the referenced stages</w:t>
            </w:r>
          </w:p>
        </w:tc>
        <w:tc>
          <w:tcPr>
            <w:tcW w:type="dxa" w:w="187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End of 2028</w:t>
            </w:r>
          </w:p>
        </w:tc>
        <w:tc>
          <w:tcPr>
            <w:tcW w:type="dxa" w:w="417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Overall target described</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Early demonstration opportunity</w:t>
            </w:r>
          </w:p>
        </w:tc>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2028 Olympics</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Possible showcase</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First commercial systems</w:t>
            </w:r>
          </w:p>
        </w:tc>
        <w:tc>
          <w:tcPr>
            <w:tcW w:type="dxa" w:w="187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Possibly 2029</w:t>
            </w:r>
          </w:p>
        </w:tc>
        <w:tc>
          <w:tcPr>
            <w:tcW w:type="dxa" w:w="417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Expectation rather than commitment</w:t>
            </w:r>
          </w:p>
        </w:tc>
      </w:tr>
    </w:tbl>
    <w:p/>
    <w:p>
      <w:r>
        <w:t>Dependencies included interoperable standards or a viable minimum implementation, prioritized market use cases, functioning chipsets and devices beyond prototypes, and a finalized 6G core architecture. A specification alone would not satisfy this readiness requirement.</w:t>
      </w:r>
    </w:p>
    <w:p>
      <w:pPr>
        <w:pStyle w:val="Heading1"/>
      </w:pPr>
      <w:r>
        <w:t>4 Rationale for a dedicated 6G core</w:t>
      </w:r>
    </w:p>
    <w:p>
      <w:pPr>
        <w:pStyle w:val="Heading2"/>
      </w:pPr>
      <w:r>
        <w:t>4 1 Lessons from the 5G deployment path</w:t>
      </w:r>
    </w:p>
    <w:p>
      <w:r>
        <w:t>The first presentation identified launching 5G in non-standalone mode anchored in 4G, followed by later migration to standalone, as a structural factor that delayed delivery of 5G architectural benefits. The stated industry ambition was therefore to make 6G standalone from day one.</w:t>
      </w:r>
    </w:p>
    <w:p>
      <w:pPr>
        <w:pStyle w:val="Heading2"/>
      </w:pPr>
      <w:r>
        <w:t>4 2 Capabilities requiring architectural support</w:t>
      </w:r>
    </w:p>
    <w:p>
      <w:r>
        <w:t>The proposed 6G core needs to accommodate AI-native control, integrated sensing and communications, closer integration of network and compute resources, and native non-terrestrial support. The presenter contrasted these objectives with adding capabilities onto an architecture originally designed for other requirements.</w:t>
      </w:r>
    </w:p>
    <w:p>
      <w:pPr>
        <w:pStyle w:val="Heading2"/>
      </w:pPr>
      <w:r>
        <w:t>4 3 Problems identified in deployed 5G cores</w:t>
      </w:r>
    </w:p>
    <w:p>
      <w:pPr>
        <w:pStyle w:val="ListBullet"/>
      </w:pPr>
      <w:r>
        <w:t>Signaling load and service-based architecture scaling were described as operational pain points.</w:t>
      </w:r>
    </w:p>
    <w:p>
      <w:pPr>
        <w:pStyle w:val="ListBullet"/>
      </w:pPr>
      <w:r>
        <w:t>Security needs were said to be evolving toward post-quantum cryptography and zero-trust principles. No concrete security procedure or selected algorithm was presented.</w:t>
      </w:r>
    </w:p>
    <w:p>
      <w:pPr>
        <w:pStyle w:val="ListBullet"/>
      </w:pPr>
      <w:r>
        <w:t>AI-generated traffic and agent communications may require different QoS assumptions and performance treatment.</w:t>
      </w:r>
    </w:p>
    <w:p>
      <w:r>
        <w:t>The presenter emphasized pragmatic evolution: reuse 5G functions where suitable, while introducing genuinely new functions or domains where their need can be justified. The session did not establish that every existing function must be replaced.</w:t>
      </w:r>
    </w:p>
    <w:p>
      <w:pPr>
        <w:pStyle w:val="Heading1"/>
      </w:pPr>
      <w:r>
        <w:t>5 Use cases shaping core requirements</w:t>
      </w:r>
    </w:p>
    <w:p>
      <w:pPr>
        <w:pStyle w:val="Heading2"/>
      </w:pPr>
      <w:r>
        <w:t>5 1 Integrated sensing and communications</w:t>
      </w:r>
    </w:p>
    <w:p>
      <w:r>
        <w:t>ISAC was presented as a core-network concern as well as a radio capability. The core would need to discover and select sensing functions and entities, authorize sensing services, support collection and transport of sensing data, and manage mobility and coordination among sensing functions and entities. A dedicated sensing function was discussed as a candidate, not an agreed component.</w:t>
      </w:r>
    </w:p>
    <w:p>
      <w:pPr>
        <w:pStyle w:val="Heading2"/>
      </w:pPr>
      <w:r>
        <w:t>5 2 Ubiquitous connectivity</w:t>
      </w:r>
    </w:p>
    <w:p>
      <w:r>
        <w:t>The goal described was seamless mobility and service continuity across terrestrial and non-terrestrial access. Requirements included interworking with existing 4G and 5G NTN systems, maintaining essential core and IMS services including voice over NTN, and applying consistent policy across terrestrial networks, satellite access, and high-altitude platform systems. The session did not specify a detailed handover procedure or a finalized three-dimensional architecture.</w:t>
      </w:r>
    </w:p>
    <w:p>
      <w:pPr>
        <w:pStyle w:val="Heading2"/>
      </w:pPr>
      <w:r>
        <w:t>5 3 AI applications and agent communications</w:t>
      </w:r>
    </w:p>
    <w:p>
      <w:r>
        <w:t>The proposed core role includes discovering and authorizing AI agents and applications, enabling their communications, and exposing network capabilities through intent-based interfaces and translation. The presentation also mentioned potential AI inference and training services and the need to accommodate emerging AI traffic patterns. These were requirements and candidate capabilities, rather than confirmation of standardized service interfaces.</w:t>
      </w:r>
    </w:p>
    <w:p>
      <w:pPr>
        <w:pStyle w:val="Heading1"/>
      </w:pPr>
      <w:r>
        <w:t>6 SA2 architecture study and candidate functions</w:t>
      </w:r>
    </w:p>
    <w:p>
      <w:r>
        <w:t>SA2 was described as the central architecture anchor for 6G core work, with related activities spread across multiple 3GPP working groups. The presenter referred to a foundational stage two architecture study, transcribed as TR 23.801-01. The exact document reference requires confirmation because the supplied transcript is noisy and no slide or specification was provided.</w:t>
      </w:r>
    </w:p>
    <w:p>
      <w:r>
        <w:t>The potential architecture was characterized as an evolved 5G service-based architecture, possibly enhanced by new network functions and an AI domain. The presenter explicitly stated that neither the 6G core architecture nor the network-function set had been agreed.</w:t>
      </w:r>
    </w:p>
    <w:p>
      <w:pPr>
        <w:pStyle w:val="Heading2"/>
      </w:pPr>
      <w:r>
        <w:t>6 1 User plane and compute integration</w:t>
      </w:r>
    </w:p>
    <w:p>
      <w:r>
        <w:t>The UPF was discussed as a possible point of convergence with edge computing: a combined user-plane and compute capability could bring forwarding and compute execution closer together. No final function name, interface definition, placement rule, or implementation was specified.</w:t>
      </w:r>
    </w:p>
    <w:p>
      <w:pPr>
        <w:pStyle w:val="Heading2"/>
      </w:pPr>
      <w:r>
        <w:t>6 2 AI enabled mobility management</w:t>
      </w:r>
    </w:p>
    <w:p>
      <w:r>
        <w:t>The AMF was used as an example of a familiar function that could become more AI-native and intent-driven, supporting autonomous mobility decisions. This was a candidate evolution, not a confirmed AMF redesign.</w:t>
      </w:r>
    </w:p>
    <w:p>
      <w:pPr>
        <w:pStyle w:val="Heading2"/>
      </w:pPr>
      <w:r>
        <w:t>6 3 Sensing orchestration</w:t>
      </w:r>
    </w:p>
    <w:p>
      <w:r>
        <w:t>A possible sensing network function could authorize, discover, and orchestrate sensing operations and capabilities. The presenter described this as functionality without a direct equivalent in the existing 5G core.</w:t>
      </w:r>
    </w:p>
    <w:p>
      <w:pPr>
        <w:pStyle w:val="Heading2"/>
      </w:pPr>
      <w:r>
        <w:t>6 4 AI agent support</w:t>
      </w:r>
    </w:p>
    <w:p>
      <w:r>
        <w:t>Candidate capabilities include agent registration, authorization, discovery brokering, communications, and maintenance of lifecycle profiles. The session did not settle whether these capabilities belong inside existing functions, separate AI-specific functions, or a distinct AI domain.</w:t>
      </w:r>
    </w:p>
    <w:p>
      <w:pPr>
        <w:pStyle w:val="Heading2"/>
      </w:pPr>
      <w:r>
        <w:t>6 5 Data framework</w:t>
      </w:r>
    </w:p>
    <w:p>
      <w:r>
        <w:t>A potential framework would orchestrate and transfer data at scale to support AI-native operations, sensing, and agent-to-agent services. Its architecture, ownership, interfaces, and relationship to existing data mechanisms remained unspecified.</w:t>
      </w:r>
    </w:p>
    <w:p>
      <w:pPr>
        <w:pStyle w:val="Heading1"/>
      </w:pPr>
      <w:r>
        <w:t>7 AI standardization scope and the 5G baseline</w:t>
      </w:r>
    </w:p>
    <w:p>
      <w:pPr>
        <w:pStyle w:val="Heading2"/>
      </w:pPr>
      <w:r>
        <w:t>7 1 Scope of 3GPP work</w:t>
      </w:r>
    </w:p>
    <w:p>
      <w:r>
        <w:t>The DOCOMO presenter explained that 3GPP is not seeking to standardize AI models or learning algorithms themselves. Its role is to define architectural components, interfaces between them, and standardized procedures that allow AI capabilities to operate within interoperable networks.</w:t>
      </w:r>
    </w:p>
    <w:p>
      <w:r>
        <w:t>The intended direction includes distributed intelligence, closed-loop control, and intent-driven networking. In an intent-based model, a consumer states the desired requirement or outcome, and the network must interpret and fulfill that request.</w:t>
      </w:r>
    </w:p>
    <w:p>
      <w:pPr>
        <w:pStyle w:val="Heading2"/>
      </w:pPr>
      <w:r>
        <w:t>7 2 Analytics in the 5G core</w:t>
      </w:r>
    </w:p>
    <w:p>
      <w:r>
        <w:t>The presenter characterized the 5G baseline as relying on a centralized analytics entity that collects data from network components and supplies analytics or predictions to other functions. A mobility-management function could, for example, use predicted UE mobility when making a decision. The entity was not reliably named in the transcript; these minutes preserve the explanation without assigning an unspoken function name.</w:t>
      </w:r>
    </w:p>
    <w:p>
      <w:r>
        <w:t>The limitations highlighted were concentration of AI and machine learning in one entity, substantial data-collection needs, emphasis on predictions rather than complete closed-loop control, limited operator observability and control, and limited support for external AI functions. This was the presenter’s characterization of the baseline, not a comprehensive assessment of every 5G deployment or release.</w:t>
      </w:r>
    </w:p>
    <w:p>
      <w:pPr>
        <w:pStyle w:val="Heading1"/>
      </w:pPr>
      <w:r>
        <w:t>8 AI study directions in the 6G core</w:t>
      </w:r>
    </w:p>
    <w:p>
      <w:pPr>
        <w:pStyle w:val="Heading2"/>
      </w:pPr>
      <w:r>
        <w:t>8 1 Intent based requests and fulfillment</w:t>
      </w:r>
    </w:p>
    <w:p>
      <w:r>
        <w:t>Consumers could request network services more flexibly by stating an intent. Network capabilities would need to understand that intent and perform fulfillment. The discussion did not define a common intent language or guarantee that arbitrary requests could be fulfilled.</w:t>
      </w:r>
    </w:p>
    <w:p>
      <w:pPr>
        <w:pStyle w:val="Heading2"/>
      </w:pPr>
      <w:r>
        <w:t>8 2 Intelligence within network functions</w:t>
      </w:r>
    </w:p>
    <w:p>
      <w:r>
        <w:t>SA2 is studying how functions beyond the centralized analytics entity can be empowered by AI. This raises questions about the placement of intelligence, allocation of responsibilities, and whether to enhance existing functions or introduce additional ones.</w:t>
      </w:r>
    </w:p>
    <w:p>
      <w:pPr>
        <w:pStyle w:val="Heading2"/>
      </w:pPr>
      <w:r>
        <w:t>8 3 Closed loop operations</w:t>
      </w:r>
    </w:p>
    <w:p>
      <w:r>
        <w:t>The described control cycle comprises observation, analysis, decision making, and continued feedback to improve network operation. The presentation identified this as a study direction rather than a selected decision algorithm or mandatory procedure.</w:t>
      </w:r>
    </w:p>
    <w:p>
      <w:pPr>
        <w:pStyle w:val="Heading2"/>
      </w:pPr>
      <w:r>
        <w:t>8 4 Operator monitoring and control</w:t>
      </w:r>
    </w:p>
    <w:p>
      <w:r>
        <w:t>With AI components potentially distributed across many network locations, operators need visibility and control over their behavior. The presenter identified monitoring and control as a requirement raised particularly by operators.</w:t>
      </w:r>
    </w:p>
    <w:p>
      <w:pPr>
        <w:pStyle w:val="Heading2"/>
      </w:pPr>
      <w:r>
        <w:t>8 5 Interoperability and roaming</w:t>
      </w:r>
    </w:p>
    <w:p>
      <w:r>
        <w:t>AI support must also work across interoperating networks and roaming contexts. The speaker cited this as an active study topic but did not describe an agreed inter-operator AI interface or roaming mechanism.</w:t>
      </w:r>
    </w:p>
    <w:p>
      <w:r>
        <w:t>The presenter referred to six study areas and 22 solution variants. The supplied narration does not unambiguously enumerate all six areas, and the referenced figure is absent. The count is recorded as stated; the headings above cover the topics that can be reliably recovered from the transcript.</w:t>
      </w:r>
    </w:p>
    <w:p>
      <w:pPr>
        <w:pStyle w:val="Heading1"/>
      </w:pPr>
      <w:r>
        <w:t>9 Competing architectural approaches</w:t>
      </w:r>
    </w:p>
    <w:p>
      <w:r>
        <w:t>The DOCOMO presenter described two broad camps in SA2. Their different positions reflect both the pace of AI development outside 3GPP and differing views about how much the 5G architecture should change.</w:t>
      </w:r>
    </w:p>
    <w:tbl>
      <w:tblPr>
        <w:tblW w:type="auto" w:w="0"/>
        <w:tblLayout w:type="fixed"/>
        <w:tblLook w:firstColumn="1" w:firstRow="1" w:lastColumn="0" w:lastRow="0" w:noHBand="0" w:noVBand="1" w:val="04A0"/>
      </w:tblPr>
      <w:tblGrid>
        <w:gridCol w:w="1872"/>
        <w:gridCol w:w="4032"/>
        <w:gridCol w:w="4032"/>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Dimension</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Multi agent approach</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Evolutionary approach</w:t>
            </w:r>
          </w:p>
        </w:tc>
      </w:tr>
      <w:tr>
        <w:trP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Architecture direction</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More fundamental redesign around multiple agents</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Use 5G as the baseline and enhance it</w:t>
            </w:r>
          </w:p>
        </w:tc>
      </w:tr>
      <w:tr>
        <w:trPr/>
        <w:tc>
          <w:tcPr>
            <w:tcW w:type="dxa" w:w="187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New concepts</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Tools, skills, plans, and agent interactions</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Additional or enhanced network functions</w:t>
            </w:r>
          </w:p>
        </w:tc>
      </w:tr>
      <w:tr>
        <w:trP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Service handling</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Flexible user requirements; agents could form procedures dynamically</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Reuse existing procedures and service invocations</w:t>
            </w:r>
          </w:p>
        </w:tc>
      </w:tr>
      <w:tr>
        <w:trPr/>
        <w:tc>
          <w:tcPr>
            <w:tcW w:type="dxa" w:w="187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Unresolved issue</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How to standardize and control dynamic behavior</w:t>
            </w:r>
          </w:p>
        </w:tc>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How far existing mechanisms can support new AI requirements</w:t>
            </w:r>
          </w:p>
        </w:tc>
      </w:tr>
    </w:tbl>
    <w:p/>
    <w:p>
      <w:r>
        <w:t>Discussion is complicated by different company requirements and visions, rapidly evolving AI technology, and concerns about AI reliability and sustainability. The presenter explained that proposals undergo repeated discussion from multiple perspectives before agreement is reached.</w:t>
      </w:r>
    </w:p>
    <w:p>
      <w:r>
        <w:t>He did not expect immediate agreement at the forthcoming meetings referenced in the session. His expectation was that a compromise could emerge in the following months. Because the meeting date is unknown, these relative expectations cannot be tied to the present calendar.</w:t>
      </w:r>
    </w:p>
    <w:p>
      <w:r>
        <w:t>The presenter emphasized consensus as the basis for standardization. No compromise architecture was selected during the recorded session.</w:t>
      </w:r>
    </w:p>
    <w:p>
      <w:pPr>
        <w:pStyle w:val="Heading1"/>
      </w:pPr>
      <w:r>
        <w:t>10 Moderated questions and responses</w:t>
      </w:r>
    </w:p>
    <w:p>
      <w:pPr>
        <w:pStyle w:val="Heading2"/>
      </w:pPr>
      <w:r>
        <w:t>10 1 What justifies a new 6G function</w:t>
      </w:r>
    </w:p>
    <w:p>
      <w:r>
        <w:t>Question: If 5G functions are reused wherever practical, should a new 6G function be justified by technical necessity, a clear market signal, or both?</w:t>
      </w:r>
    </w:p>
    <w:p>
      <w:r>
        <w:t>Response: Both speakers supported a combination of business and technical justification. The DOCOMO presenter said market and business needs are especially important from the operator perspective, while resolving a technical issue is also a valid basis for change.</w:t>
      </w:r>
    </w:p>
    <w:p>
      <w:r>
        <w:t>Steve Douglas cited sensing and AI communications as examples where missing capabilities can justify additions. He also noted the unresolved options for AI placement: embed intelligence in existing functions, introduce AI-specific functions, or create a separate AI domain. These choices affect core architecture, commercial cost, and the difficulty of future upgrades.</w:t>
      </w:r>
    </w:p>
    <w:p>
      <w:r>
        <w:t>He encouraged evidence from early research, prototyping, and testing to inform decisions with material implications for service capability and migration cost. The discussion did not approve a prototype or assign a team to produce one.</w:t>
      </w:r>
    </w:p>
    <w:p>
      <w:pPr>
        <w:pStyle w:val="Heading2"/>
      </w:pPr>
      <w:r>
        <w:t>10 2 How should autonomy coexist with deterministic control</w:t>
      </w:r>
    </w:p>
    <w:p>
      <w:r>
        <w:t>Question: Where should the boundary lie between autonomous AI decisions and rule-based control needed to guarantee performance, reliability, and security?</w:t>
      </w:r>
    </w:p>
    <w:p>
      <w:r>
        <w:t>Steve Douglas answered that many routine processes are already suitable for automation. For more flexible intent-driven operations, particularly those exposed to third parties, the main need is a control framework that prevents AI from exceeding its guardrails.</w:t>
      </w:r>
    </w:p>
    <w:p>
      <w:pPr>
        <w:pStyle w:val="ListBullet"/>
      </w:pPr>
      <w:r>
        <w:t>Detect actions that degrade or adversely affect performance.</w:t>
      </w:r>
    </w:p>
    <w:p>
      <w:pPr>
        <w:pStyle w:val="ListBullet"/>
      </w:pPr>
      <w:r>
        <w:t>Provide safe fallback mechanisms.</w:t>
      </w:r>
    </w:p>
    <w:p>
      <w:pPr>
        <w:pStyle w:val="ListBullet"/>
      </w:pPr>
      <w:r>
        <w:t>Allow autonomy to be reduced when needed.</w:t>
      </w:r>
    </w:p>
    <w:p>
      <w:pPr>
        <w:pStyle w:val="ListBullet"/>
      </w:pPr>
      <w:r>
        <w:t>Maintain control even when a customer’s future intent cannot be fully anticipated during architecture design.</w:t>
      </w:r>
    </w:p>
    <w:p>
      <w:r>
        <w:t>The response established a design principle rather than a finalized technical solution. No specific thresholds, policy language, fallback procedure, or deterministic control boundary were agreed. The transcript does not capture a separate substantive answer from the DOCOMO presenter to this question.</w:t>
      </w:r>
    </w:p>
    <w:p>
      <w:pPr>
        <w:pStyle w:val="Heading1"/>
      </w:pPr>
      <w:r>
        <w:t>11 Outcomes and unresolved matters</w:t>
      </w:r>
    </w:p>
    <w:p>
      <w:pPr>
        <w:pStyle w:val="Heading2"/>
      </w:pPr>
      <w:r>
        <w:t>11 1 Outcomes recorded in the session</w:t>
      </w:r>
    </w:p>
    <w:p>
      <w:pPr>
        <w:pStyle w:val="ListBullet"/>
      </w:pPr>
      <w:r>
        <w:t>The speakers agreed that business value and technical necessity both help justify new 6G capabilities.</w:t>
      </w:r>
    </w:p>
    <w:p>
      <w:pPr>
        <w:pStyle w:val="ListBullet"/>
      </w:pPr>
      <w:r>
        <w:t>They presented pragmatic reuse of existing capabilities alongside additions where justified as an important direction, while acknowledging disagreement about the extent of architectural change.</w:t>
      </w:r>
    </w:p>
    <w:p>
      <w:pPr>
        <w:pStyle w:val="ListBullet"/>
      </w:pPr>
      <w:r>
        <w:t>The session reinforced the need for operator control and safeguards around AI-driven network behavior.</w:t>
      </w:r>
    </w:p>
    <w:p>
      <w:r>
        <w:t>These are discussion outcomes and shared viewpoints, not formal 3GPP decisions. The session recorded no adopted architecture, approved network-function list, or formally assigned actions.</w:t>
      </w:r>
    </w:p>
    <w:p>
      <w:pPr>
        <w:pStyle w:val="Heading2"/>
      </w:pPr>
      <w:r>
        <w:t>11 2 Matters still open</w:t>
      </w:r>
    </w:p>
    <w:p>
      <w:pPr>
        <w:pStyle w:val="ListBullet"/>
      </w:pPr>
      <w:r>
        <w:t>Selection or compromise between multi-agent and evolutionary core designs.</w:t>
      </w:r>
    </w:p>
    <w:p>
      <w:pPr>
        <w:pStyle w:val="ListBullet"/>
      </w:pPr>
      <w:r>
        <w:t>Placement of AI within existing functions, new functions, or a separate domain.</w:t>
      </w:r>
    </w:p>
    <w:p>
      <w:pPr>
        <w:pStyle w:val="ListBullet"/>
      </w:pPr>
      <w:r>
        <w:t>Standardized intent interpretation and fulfillment procedures.</w:t>
      </w:r>
    </w:p>
    <w:p>
      <w:pPr>
        <w:pStyle w:val="ListBullet"/>
      </w:pPr>
      <w:r>
        <w:t>Concrete operator observability, control, autonomy reduction, and fallback mechanisms.</w:t>
      </w:r>
    </w:p>
    <w:p>
      <w:pPr>
        <w:pStyle w:val="ListBullet"/>
      </w:pPr>
      <w:r>
        <w:t>Interoperability and roaming treatment for AI capabilities.</w:t>
      </w:r>
    </w:p>
    <w:p>
      <w:pPr>
        <w:pStyle w:val="ListBullet"/>
      </w:pPr>
      <w:r>
        <w:t>Definition of sensing, agent lifecycle, and data-framework functions and interfaces.</w:t>
      </w:r>
    </w:p>
    <w:p>
      <w:pPr>
        <w:pStyle w:val="ListBullet"/>
      </w:pPr>
      <w:r>
        <w:t>Evidence demonstrating the service benefits, reliability, sustainability, and commercial impact of the options.</w:t>
      </w:r>
    </w:p>
    <w:p>
      <w:pPr>
        <w:pStyle w:val="Heading1"/>
      </w:pPr>
      <w:r>
        <w:t>12 Follow up register</w:t>
      </w:r>
    </w:p>
    <w:p>
      <w:r>
        <w:t>No owners or deadlines were assigned in the source. The items below are suggested follow-ups derived from the discussion; they must not be treated as commitments made by the presenters.</w:t>
      </w:r>
    </w:p>
    <w:tbl>
      <w:tblPr>
        <w:tblW w:type="auto" w:w="0"/>
        <w:tblLayout w:type="fixed"/>
        <w:tblLook w:firstColumn="1" w:firstRow="1" w:lastColumn="0" w:lastRow="0" w:noHBand="0" w:noVBand="1" w:val="04A0"/>
      </w:tblPr>
      <w:tblGrid>
        <w:gridCol w:w="3600"/>
        <w:gridCol w:w="4176"/>
        <w:gridCol w:w="2160"/>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Suggested follow up</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Purpose</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Owner and due date</w:t>
            </w:r>
          </w:p>
        </w:tc>
      </w:tr>
      <w:tr>
        <w:trPr/>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Confirm source metadata and DOCOMO speaker name</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Establish the session date and reliable attribution</w:t>
            </w:r>
          </w:p>
        </w:tc>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Not assigned</w:t>
            </w:r>
          </w:p>
        </w:tc>
      </w:tr>
      <w:tr>
        <w:trPr/>
        <w:tc>
          <w:tcPr>
            <w:tcW w:type="dxa" w:w="360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Confirm architecture study identifier and schedule</w:t>
            </w:r>
          </w:p>
        </w:tc>
        <w:tc>
          <w:tcPr>
            <w:tcW w:type="dxa" w:w="417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Resolve the transcribed TR reference and date assumptions</w:t>
            </w:r>
          </w:p>
        </w:tc>
        <w:tc>
          <w:tcPr>
            <w:tcW w:type="dxa" w:w="216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Not assigned</w:t>
            </w:r>
          </w:p>
        </w:tc>
      </w:tr>
      <w:tr>
        <w:trPr/>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Track SA2 convergence on AI architecture</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Identify any later consensus between the approaches</w:t>
            </w:r>
          </w:p>
        </w:tc>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Not assigned</w:t>
            </w:r>
          </w:p>
        </w:tc>
      </w:tr>
      <w:tr>
        <w:trPr/>
        <w:tc>
          <w:tcPr>
            <w:tcW w:type="dxa" w:w="360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Compare candidate placements of AI</w:t>
            </w:r>
          </w:p>
        </w:tc>
        <w:tc>
          <w:tcPr>
            <w:tcW w:type="dxa" w:w="417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Assess reuse, new functions, and a separate domain</w:t>
            </w:r>
          </w:p>
        </w:tc>
        <w:tc>
          <w:tcPr>
            <w:tcW w:type="dxa" w:w="216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Not assigned</w:t>
            </w:r>
          </w:p>
        </w:tc>
      </w:tr>
      <w:tr>
        <w:trPr/>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Develop evidence from prototypes and testing</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Evaluate capability gains, reliability, and upgrade cost</w:t>
            </w:r>
          </w:p>
        </w:tc>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Not assigned</w:t>
            </w:r>
          </w:p>
        </w:tc>
      </w:tr>
      <w:tr>
        <w:trPr/>
        <w:tc>
          <w:tcPr>
            <w:tcW w:type="dxa" w:w="360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Define measurable autonomy controls</w:t>
            </w:r>
          </w:p>
        </w:tc>
        <w:tc>
          <w:tcPr>
            <w:tcW w:type="dxa" w:w="417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Evaluate observability, guardrails, fallback, and reduced autonomy</w:t>
            </w:r>
          </w:p>
        </w:tc>
        <w:tc>
          <w:tcPr>
            <w:tcW w:type="dxa" w:w="216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Not assigned</w:t>
            </w:r>
          </w:p>
        </w:tc>
      </w:tr>
    </w:tbl>
    <w:p/>
    <w:p>
      <w:pPr>
        <w:pStyle w:val="Heading1"/>
      </w:pPr>
      <w:r>
        <w:t>13 Abbreviations</w:t>
      </w:r>
    </w:p>
    <w:tbl>
      <w:tblPr>
        <w:tblW w:type="auto" w:w="0"/>
        <w:tblLayout w:type="fixed"/>
        <w:tblLook w:firstColumn="1" w:firstRow="1" w:lastColumn="0" w:lastRow="0" w:noHBand="0" w:noVBand="1" w:val="04A0"/>
      </w:tblPr>
      <w:tblGrid>
        <w:gridCol w:w="1584"/>
        <w:gridCol w:w="8352"/>
      </w:tblGrid>
      <w:tr>
        <w:trPr>
          <w:tblHeader/>
        </w:trPr>
        <w:tc>
          <w:tcPr>
            <w:tcW w:type="dxa" w:w="4968"/>
            <w:tcBorders>
              <w:top w:val="single" w:sz="4" w:color="D9D9D9"/>
              <w:left w:val="single" w:sz="4" w:color="D9D9D9"/>
              <w:bottom w:val="single" w:sz="4" w:color="D9D9D9"/>
              <w:right w:val="single" w:sz="4" w:color="D9D9D9"/>
            </w:tcBorders>
            <w:shd w:fill="E6EBF0"/>
            <w:tcMar>
              <w:top w:w="35" w:type="dxa"/>
              <w:left w:w="35" w:type="dxa"/>
              <w:bottom w:w="35" w:type="dxa"/>
              <w:right w:w="35" w:type="dxa"/>
            </w:tcMar>
          </w:tcPr>
          <w:p>
            <w:pPr>
              <w:spacing w:after="0" w:line="240" w:lineRule="auto"/>
            </w:pPr>
            <w:r>
              <w:rPr>
                <w:b/>
                <w:sz w:val="18"/>
              </w:rPr>
              <w:t>Term</w:t>
            </w:r>
          </w:p>
        </w:tc>
        <w:tc>
          <w:tcPr>
            <w:tcW w:type="dxa" w:w="4968"/>
            <w:tcBorders>
              <w:top w:val="single" w:sz="4" w:color="D9D9D9"/>
              <w:left w:val="single" w:sz="4" w:color="D9D9D9"/>
              <w:bottom w:val="single" w:sz="4" w:color="D9D9D9"/>
              <w:right w:val="single" w:sz="4" w:color="D9D9D9"/>
            </w:tcBorders>
            <w:shd w:fill="E6EBF0"/>
            <w:tcMar>
              <w:top w:w="35" w:type="dxa"/>
              <w:left w:w="35" w:type="dxa"/>
              <w:bottom w:w="35" w:type="dxa"/>
              <w:right w:w="35" w:type="dxa"/>
            </w:tcMar>
          </w:tcPr>
          <w:p>
            <w:pPr>
              <w:spacing w:after="0" w:line="240" w:lineRule="auto"/>
            </w:pPr>
            <w:r>
              <w:rPr>
                <w:b/>
                <w:sz w:val="18"/>
              </w:rPr>
              <w:t>Meaning</w:t>
            </w:r>
          </w:p>
        </w:tc>
      </w:tr>
      <w:tr>
        <w:trPr/>
        <w:tc>
          <w:tcPr>
            <w:tcW w:type="dxa" w:w="1584"/>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3GPP</w:t>
            </w:r>
          </w:p>
        </w:tc>
        <w:tc>
          <w:tcPr>
            <w:tcW w:type="dxa" w:w="8352"/>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3rd Generation Partnership Project</w:t>
            </w:r>
          </w:p>
        </w:tc>
      </w:tr>
      <w:tr>
        <w:trPr/>
        <w:tc>
          <w:tcPr>
            <w:tcW w:type="dxa" w:w="1584"/>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SA2</w:t>
            </w:r>
          </w:p>
        </w:tc>
        <w:tc>
          <w:tcPr>
            <w:tcW w:type="dxa" w:w="8352"/>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3GPP Service and System Aspects working group 2</w:t>
            </w:r>
          </w:p>
        </w:tc>
      </w:tr>
      <w:tr>
        <w:trPr/>
        <w:tc>
          <w:tcPr>
            <w:tcW w:type="dxa" w:w="1584"/>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AI and ML</w:t>
            </w:r>
          </w:p>
        </w:tc>
        <w:tc>
          <w:tcPr>
            <w:tcW w:type="dxa" w:w="8352"/>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Artificial intelligence and machine learning</w:t>
            </w:r>
          </w:p>
        </w:tc>
      </w:tr>
      <w:tr>
        <w:trPr/>
        <w:tc>
          <w:tcPr>
            <w:tcW w:type="dxa" w:w="1584"/>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AMF</w:t>
            </w:r>
          </w:p>
        </w:tc>
        <w:tc>
          <w:tcPr>
            <w:tcW w:type="dxa" w:w="8352"/>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Access and Mobility Management Function</w:t>
            </w:r>
          </w:p>
        </w:tc>
      </w:tr>
      <w:tr>
        <w:trPr/>
        <w:tc>
          <w:tcPr>
            <w:tcW w:type="dxa" w:w="1584"/>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UPF</w:t>
            </w:r>
          </w:p>
        </w:tc>
        <w:tc>
          <w:tcPr>
            <w:tcW w:type="dxa" w:w="8352"/>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User Plane Function</w:t>
            </w:r>
          </w:p>
        </w:tc>
      </w:tr>
      <w:tr>
        <w:trPr/>
        <w:tc>
          <w:tcPr>
            <w:tcW w:type="dxa" w:w="1584"/>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SBA</w:t>
            </w:r>
          </w:p>
        </w:tc>
        <w:tc>
          <w:tcPr>
            <w:tcW w:type="dxa" w:w="8352"/>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Service Based Architecture</w:t>
            </w:r>
          </w:p>
        </w:tc>
      </w:tr>
      <w:tr>
        <w:trPr/>
        <w:tc>
          <w:tcPr>
            <w:tcW w:type="dxa" w:w="1584"/>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ISAC</w:t>
            </w:r>
          </w:p>
        </w:tc>
        <w:tc>
          <w:tcPr>
            <w:tcW w:type="dxa" w:w="8352"/>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Integrated Sensing and Communications</w:t>
            </w:r>
          </w:p>
        </w:tc>
      </w:tr>
      <w:tr>
        <w:trPr/>
        <w:tc>
          <w:tcPr>
            <w:tcW w:type="dxa" w:w="1584"/>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NTN</w:t>
            </w:r>
          </w:p>
        </w:tc>
        <w:tc>
          <w:tcPr>
            <w:tcW w:type="dxa" w:w="8352"/>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Non Terrestrial Network</w:t>
            </w:r>
          </w:p>
        </w:tc>
      </w:tr>
      <w:tr>
        <w:trPr/>
        <w:tc>
          <w:tcPr>
            <w:tcW w:type="dxa" w:w="1584"/>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IMS</w:t>
            </w:r>
          </w:p>
        </w:tc>
        <w:tc>
          <w:tcPr>
            <w:tcW w:type="dxa" w:w="8352"/>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IP Multimedia Subsystem</w:t>
            </w:r>
          </w:p>
        </w:tc>
      </w:tr>
      <w:tr>
        <w:trPr/>
        <w:tc>
          <w:tcPr>
            <w:tcW w:type="dxa" w:w="1584"/>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UE</w:t>
            </w:r>
          </w:p>
        </w:tc>
        <w:tc>
          <w:tcPr>
            <w:tcW w:type="dxa" w:w="8352"/>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User Equipment</w:t>
            </w:r>
          </w:p>
        </w:tc>
      </w:tr>
      <w:tr>
        <w:trPr/>
        <w:tc>
          <w:tcPr>
            <w:tcW w:type="dxa" w:w="1584"/>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QoS</w:t>
            </w:r>
          </w:p>
        </w:tc>
        <w:tc>
          <w:tcPr>
            <w:tcW w:type="dxa" w:w="8352"/>
            <w:tcBorders>
              <w:top w:val="single" w:sz="4" w:color="D9D9D9"/>
              <w:left w:val="single" w:sz="4" w:color="D9D9D9"/>
              <w:bottom w:val="single" w:sz="4" w:color="D9D9D9"/>
              <w:right w:val="single" w:sz="4" w:color="D9D9D9"/>
            </w:tcBorders>
            <w:shd w:fill="FFFFFF"/>
            <w:tcMar>
              <w:top w:w="35" w:type="dxa"/>
              <w:left w:w="35" w:type="dxa"/>
              <w:bottom w:w="35" w:type="dxa"/>
              <w:right w:w="35" w:type="dxa"/>
            </w:tcMar>
          </w:tcPr>
          <w:p>
            <w:pPr>
              <w:spacing w:after="0" w:line="240" w:lineRule="auto"/>
            </w:pPr>
            <w:r>
              <w:rPr>
                <w:b w:val="0"/>
                <w:sz w:val="18"/>
              </w:rPr>
              <w:t>Quality of Service</w:t>
            </w:r>
          </w:p>
        </w:tc>
      </w:tr>
      <w:tr>
        <w:trPr/>
        <w:tc>
          <w:tcPr>
            <w:tcW w:type="dxa" w:w="1584"/>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TR</w:t>
            </w:r>
          </w:p>
        </w:tc>
        <w:tc>
          <w:tcPr>
            <w:tcW w:type="dxa" w:w="8352"/>
            <w:tcBorders>
              <w:top w:val="single" w:sz="4" w:color="D9D9D9"/>
              <w:left w:val="single" w:sz="4" w:color="D9D9D9"/>
              <w:bottom w:val="single" w:sz="4" w:color="D9D9D9"/>
              <w:right w:val="single" w:sz="4" w:color="D9D9D9"/>
            </w:tcBorders>
            <w:shd w:fill="F5F5F5"/>
            <w:tcMar>
              <w:top w:w="35" w:type="dxa"/>
              <w:left w:w="35" w:type="dxa"/>
              <w:bottom w:w="35" w:type="dxa"/>
              <w:right w:w="35" w:type="dxa"/>
            </w:tcMar>
          </w:tcPr>
          <w:p>
            <w:pPr>
              <w:spacing w:after="0" w:line="240" w:lineRule="auto"/>
            </w:pPr>
            <w:r>
              <w:rPr>
                <w:b w:val="0"/>
                <w:sz w:val="18"/>
              </w:rPr>
              <w:t>Technical Report</w:t>
            </w:r>
          </w:p>
        </w:tc>
      </w:tr>
    </w:tbl>
    <w:p>
      <w:pPr>
        <w:keepNext w:val="0"/>
        <w:spacing w:after="0" w:before="0" w:line="20" w:lineRule="exact"/>
      </w:pPr>
      <w:r>
        <w:rPr>
          <w:sz w:val="2"/>
        </w:rP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AI Progress for the 6G Core Detailed Minutes</dc:title>
  <dc:subject>Minutes based on the supplied session transcript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