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360" w:after="160"/>
      </w:pPr>
      <w:r>
        <w:rPr>
          <w:rFonts w:ascii="Arial" w:cs="Arial" w:eastAsia="Arial" w:hAnsi="Arial"/>
          <w:b/>
          <w:bCs/>
          <w:color w:val="1F4E79"/>
          <w:sz w:val="36"/>
          <w:szCs w:val="36"/>
        </w:rPr>
        <w:t xml:space="preserve">Document 18 — Legal Framework &amp; Disclaimers</w:t>
      </w:r>
    </w:p>
    <w:p>
      <w:pPr>
        <w:spacing w:after="120"/>
      </w:pPr>
      <w:r>
        <w:rPr>
          <w:rFonts w:ascii="Arial" w:cs="Arial" w:eastAsia="Arial" w:hAnsi="Arial"/>
          <w:sz w:val="22"/>
          <w:szCs w:val="22"/>
        </w:rPr>
        <w:t xml:space="preserve">Version 1.0 — March 2026</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A32D2D" w:val="clear"/>
            <w:tcMar>
              <w:top w:type="dxa" w:w="160"/>
              <w:left w:type="dxa" w:w="240"/>
              <w:bottom w:type="dxa" w:w="160"/>
              <w:right w:type="dxa" w:w="240"/>
            </w:tcMar>
          </w:tcPr>
          <w:p>
            <w:pPr>
              <w:spacing w:after="0"/>
            </w:pPr>
            <w:r>
              <w:rPr>
                <w:rFonts w:ascii="Arial" w:cs="Arial" w:eastAsia="Arial" w:hAnsi="Arial"/>
                <w:b/>
                <w:bCs/>
                <w:color w:val="FFFFFF"/>
                <w:sz w:val="22"/>
                <w:szCs w:val="22"/>
              </w:rPr>
              <w:t xml:space="preserve">CRITICAL DOCUMENT: This spec is required before any public launch. Every recommendation Kairon makes must be accompanied by appropriate disclaimers. This document defines the exact language, placement, and triggers for all legal disclosures.</w:t>
            </w:r>
          </w:p>
        </w:tc>
      </w:tr>
    </w:tbl>
    <w:p>
      <w:pPr>
        <w:spacing w:after="160"/>
      </w:pPr>
      <w:r>
        <w:t xml:space="preserve"/>
      </w:r>
    </w:p>
    <w:p>
      <w:pPr>
        <w:pStyle w:val="Heading2"/>
        <w:spacing w:before="280" w:after="120"/>
      </w:pPr>
      <w:r>
        <w:rPr>
          <w:rFonts w:ascii="Arial" w:cs="Arial" w:eastAsia="Arial" w:hAnsi="Arial"/>
          <w:b/>
          <w:bCs/>
          <w:color w:val="0F6E56"/>
          <w:sz w:val="28"/>
          <w:szCs w:val="28"/>
        </w:rPr>
        <w:t xml:space="preserve">1. The Fundamental Legal Position</w:t>
      </w:r>
    </w:p>
    <w:p>
      <w:pPr>
        <w:spacing w:after="120"/>
      </w:pPr>
      <w:r>
        <w:rPr>
          <w:rFonts w:ascii="Arial" w:cs="Arial" w:eastAsia="Arial" w:hAnsi="Arial"/>
          <w:sz w:val="22"/>
          <w:szCs w:val="22"/>
        </w:rPr>
        <w:t xml:space="preserve">Kairon is a financial intelligence and simulation tool. It is not:</w:t>
      </w:r>
    </w:p>
    <w:p>
      <w:pPr>
        <w:pStyle w:val="ListParagraph"/>
        <w:numPr>
          <w:ilvl w:val="0"/>
          <w:numId w:val="2"/>
        </w:numPr>
        <w:spacing w:after="80"/>
      </w:pPr>
      <w:r>
        <w:rPr>
          <w:rFonts w:ascii="Arial" w:cs="Arial" w:eastAsia="Arial" w:hAnsi="Arial"/>
          <w:sz w:val="22"/>
          <w:szCs w:val="22"/>
        </w:rPr>
        <w:t xml:space="preserve">A registered investment adviser</w:t>
      </w:r>
    </w:p>
    <w:p>
      <w:pPr>
        <w:pStyle w:val="ListParagraph"/>
        <w:numPr>
          <w:ilvl w:val="0"/>
          <w:numId w:val="2"/>
        </w:numPr>
        <w:spacing w:after="80"/>
      </w:pPr>
      <w:r>
        <w:rPr>
          <w:rFonts w:ascii="Arial" w:cs="Arial" w:eastAsia="Arial" w:hAnsi="Arial"/>
          <w:sz w:val="22"/>
          <w:szCs w:val="22"/>
        </w:rPr>
        <w:t xml:space="preserve">A broker-dealer or trading platform</w:t>
      </w:r>
    </w:p>
    <w:p>
      <w:pPr>
        <w:pStyle w:val="ListParagraph"/>
        <w:numPr>
          <w:ilvl w:val="0"/>
          <w:numId w:val="2"/>
        </w:numPr>
        <w:spacing w:after="80"/>
      </w:pPr>
      <w:r>
        <w:rPr>
          <w:rFonts w:ascii="Arial" w:cs="Arial" w:eastAsia="Arial" w:hAnsi="Arial"/>
          <w:sz w:val="22"/>
          <w:szCs w:val="22"/>
        </w:rPr>
        <w:t xml:space="preserve">A provider of personalized financial advice</w:t>
      </w:r>
    </w:p>
    <w:p>
      <w:pPr>
        <w:pStyle w:val="ListParagraph"/>
        <w:numPr>
          <w:ilvl w:val="0"/>
          <w:numId w:val="2"/>
        </w:numPr>
        <w:spacing w:after="80"/>
      </w:pPr>
      <w:r>
        <w:rPr>
          <w:rFonts w:ascii="Arial" w:cs="Arial" w:eastAsia="Arial" w:hAnsi="Arial"/>
          <w:sz w:val="22"/>
          <w:szCs w:val="22"/>
        </w:rPr>
        <w:t xml:space="preserve">A predictor of future market performance</w:t>
      </w:r>
    </w:p>
    <w:p>
      <w:pPr>
        <w:spacing w:after="160"/>
      </w:pPr>
      <w:r>
        <w:t xml:space="preserve"/>
      </w:r>
    </w:p>
    <w:p>
      <w:pPr>
        <w:spacing w:after="120"/>
      </w:pPr>
      <w:r>
        <w:rPr>
          <w:rFonts w:ascii="Arial" w:cs="Arial" w:eastAsia="Arial" w:hAnsi="Arial"/>
          <w:sz w:val="22"/>
          <w:szCs w:val="22"/>
        </w:rPr>
        <w:t xml:space="preserve">Kairon is:</w:t>
      </w:r>
    </w:p>
    <w:p>
      <w:pPr>
        <w:pStyle w:val="ListParagraph"/>
        <w:numPr>
          <w:ilvl w:val="0"/>
          <w:numId w:val="2"/>
        </w:numPr>
        <w:spacing w:after="80"/>
      </w:pPr>
      <w:r>
        <w:rPr>
          <w:rFonts w:ascii="Arial" w:cs="Arial" w:eastAsia="Arial" w:hAnsi="Arial"/>
          <w:sz w:val="22"/>
          <w:szCs w:val="22"/>
        </w:rPr>
        <w:t xml:space="preserve">An educational and analytical simulation environment</w:t>
      </w:r>
    </w:p>
    <w:p>
      <w:pPr>
        <w:pStyle w:val="ListParagraph"/>
        <w:numPr>
          <w:ilvl w:val="0"/>
          <w:numId w:val="2"/>
        </w:numPr>
        <w:spacing w:after="80"/>
      </w:pPr>
      <w:r>
        <w:rPr>
          <w:rFonts w:ascii="Arial" w:cs="Arial" w:eastAsia="Arial" w:hAnsi="Arial"/>
          <w:sz w:val="22"/>
          <w:szCs w:val="22"/>
        </w:rPr>
        <w:t xml:space="preserve">A tool for learning about financial market relationships</w:t>
      </w:r>
    </w:p>
    <w:p>
      <w:pPr>
        <w:pStyle w:val="ListParagraph"/>
        <w:numPr>
          <w:ilvl w:val="0"/>
          <w:numId w:val="2"/>
        </w:numPr>
        <w:spacing w:after="80"/>
      </w:pPr>
      <w:r>
        <w:rPr>
          <w:rFonts w:ascii="Arial" w:cs="Arial" w:eastAsia="Arial" w:hAnsi="Arial"/>
          <w:sz w:val="22"/>
          <w:szCs w:val="22"/>
        </w:rPr>
        <w:t xml:space="preserve">A framework for applying systematic thinking to investment decisions</w:t>
      </w:r>
    </w:p>
    <w:p>
      <w:pPr>
        <w:pStyle w:val="ListParagraph"/>
        <w:numPr>
          <w:ilvl w:val="0"/>
          <w:numId w:val="2"/>
        </w:numPr>
        <w:spacing w:after="80"/>
      </w:pPr>
      <w:r>
        <w:rPr>
          <w:rFonts w:ascii="Arial" w:cs="Arial" w:eastAsia="Arial" w:hAnsi="Arial"/>
          <w:sz w:val="22"/>
          <w:szCs w:val="22"/>
        </w:rPr>
        <w:t xml:space="preserve">A research assistant that synthesizes publicly available data</w:t>
      </w:r>
    </w:p>
    <w:p>
      <w:pPr>
        <w:spacing w:after="160"/>
      </w:pPr>
      <w:r>
        <w:t xml:space="preserve"/>
      </w:r>
    </w:p>
    <w:p>
      <w:pPr>
        <w:pStyle w:val="Heading2"/>
        <w:spacing w:before="280" w:after="120"/>
      </w:pPr>
      <w:r>
        <w:rPr>
          <w:rFonts w:ascii="Arial" w:cs="Arial" w:eastAsia="Arial" w:hAnsi="Arial"/>
          <w:b/>
          <w:bCs/>
          <w:color w:val="0F6E56"/>
          <w:sz w:val="28"/>
          <w:szCs w:val="28"/>
        </w:rPr>
        <w:t xml:space="preserve">2. Persistent Disclaimers (Always Visible)</w:t>
      </w:r>
    </w:p>
    <w:p>
      <w:pPr>
        <w:spacing w:after="120"/>
      </w:pPr>
      <w:r>
        <w:rPr>
          <w:rFonts w:ascii="Arial" w:cs="Arial" w:eastAsia="Arial" w:hAnsi="Arial"/>
          <w:sz w:val="22"/>
          <w:szCs w:val="22"/>
        </w:rPr>
        <w:t xml:space="preserve">These elements appear on every screen, every session, with no ability to permanently dismiss them.</w:t>
      </w:r>
    </w:p>
    <w:p>
      <w:pPr>
        <w:spacing w:after="160"/>
      </w:pPr>
      <w:r>
        <w:t xml:space="preserve"/>
      </w:r>
    </w:p>
    <w:p>
      <w:pPr>
        <w:pStyle w:val="Heading3"/>
        <w:spacing w:before="200" w:after="80"/>
      </w:pPr>
      <w:r>
        <w:rPr>
          <w:rFonts w:ascii="Arial" w:cs="Arial" w:eastAsia="Arial" w:hAnsi="Arial"/>
          <w:b/>
          <w:bCs/>
          <w:color w:val="5F5E5A"/>
          <w:sz w:val="24"/>
          <w:szCs w:val="24"/>
        </w:rPr>
        <w:t xml:space="preserve">2A. SIM MODE Badge (Topbar)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60"/>
              <w:left w:type="dxa" w:w="240"/>
              <w:bottom w:type="dxa" w:w="160"/>
              <w:right w:type="dxa" w:w="240"/>
            </w:tcMar>
          </w:tcPr>
          <w:p>
            <w:pPr>
              <w:spacing w:after="0"/>
            </w:pPr>
            <w:r>
              <w:rPr>
                <w:rFonts w:ascii="Arial" w:cs="Arial" w:eastAsia="Arial" w:hAnsi="Arial"/>
                <w:b w:val="false"/>
                <w:bCs w:val="false"/>
                <w:color w:val="854F0B"/>
                <w:sz w:val="22"/>
                <w:szCs w:val="22"/>
              </w:rPr>
              <w:t xml:space="preserve">SPEC: Amber badge in topbar — always visible. Text: "SIM MODE — Not financial advice". Width: auto. Cannot be removed or hidden. Font: monospace 12px. Color: amber background, amber-dark text. Tooltip on hover: "Kairon operates in simulation mode. All recommendations are for educational purposes only. No real trades are executed. Past performance does not predict future results."</w:t>
            </w:r>
          </w:p>
        </w:tc>
      </w:tr>
    </w:tbl>
    <w:p>
      <w:pPr>
        <w:spacing w:after="160"/>
      </w:pPr>
      <w:r>
        <w:t xml:space="preserve"/>
      </w:r>
    </w:p>
    <w:p>
      <w:pPr>
        <w:pStyle w:val="Heading3"/>
        <w:spacing w:before="200" w:after="80"/>
      </w:pPr>
      <w:r>
        <w:rPr>
          <w:rFonts w:ascii="Arial" w:cs="Arial" w:eastAsia="Arial" w:hAnsi="Arial"/>
          <w:b/>
          <w:bCs/>
          <w:color w:val="5F5E5A"/>
          <w:sz w:val="24"/>
          <w:szCs w:val="24"/>
        </w:rPr>
        <w:t xml:space="preserve">2B. Screen 2 Header Disclaimer</w:t>
      </w:r>
    </w:p>
    <w:p>
      <w:pPr>
        <w:spacing w:after="120"/>
      </w:pPr>
      <w:r>
        <w:rPr>
          <w:rFonts w:ascii="Arial" w:cs="Arial" w:eastAsia="Arial" w:hAnsi="Arial"/>
          <w:sz w:val="22"/>
          <w:szCs w:val="22"/>
        </w:rPr>
        <w:t xml:space="preserve">Above all move recommendation cards, permanently: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60"/>
              <w:left w:type="dxa" w:w="240"/>
              <w:bottom w:type="dxa" w:w="160"/>
              <w:right w:type="dxa" w:w="240"/>
            </w:tcMar>
          </w:tcPr>
          <w:p>
            <w:pPr>
              <w:spacing w:after="0"/>
            </w:pPr>
            <w:r>
              <w:rPr>
                <w:rFonts w:ascii="Arial" w:cs="Arial" w:eastAsia="Arial" w:hAnsi="Arial"/>
                <w:b w:val="false"/>
                <w:bCs w:val="false"/>
                <w:color w:val="333333"/>
                <w:sz w:val="22"/>
                <w:szCs w:val="22"/>
              </w:rPr>
              <w:t xml:space="preserve">These recommendations are generated by AI agents analyzing public market data. They are educational simulations, not personalized financial advice. You are solely responsible for any investment decisions you make. Markets are unpredictable. You may lose money.</w:t>
            </w:r>
          </w:p>
        </w:tc>
      </w:tr>
    </w:tbl>
    <w:p>
      <w:pPr>
        <w:spacing w:after="160"/>
      </w:pPr>
      <w:r>
        <w:t xml:space="preserve"/>
      </w:r>
    </w:p>
    <w:p>
      <w:pPr>
        <w:pStyle w:val="Heading2"/>
        <w:spacing w:before="280" w:after="120"/>
      </w:pPr>
      <w:r>
        <w:rPr>
          <w:rFonts w:ascii="Arial" w:cs="Arial" w:eastAsia="Arial" w:hAnsi="Arial"/>
          <w:b/>
          <w:bCs/>
          <w:color w:val="0F6E56"/>
          <w:sz w:val="28"/>
          <w:szCs w:val="28"/>
        </w:rPr>
        <w:t xml:space="preserve">3. Pre-Execute Confirmation Modal</w:t>
      </w:r>
    </w:p>
    <w:p>
      <w:pPr>
        <w:spacing w:after="120"/>
      </w:pPr>
      <w:r>
        <w:rPr>
          <w:rFonts w:ascii="Arial" w:cs="Arial" w:eastAsia="Arial" w:hAnsi="Arial"/>
          <w:sz w:val="22"/>
          <w:szCs w:val="22"/>
        </w:rPr>
        <w:t xml:space="preserve">When a user clicks "Execute" on any move card, a confirmation modal appears BEFORE the decision is logged. This modal cannot be pre-accepted or disabled.</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60"/>
              <w:left w:type="dxa" w:w="240"/>
              <w:bottom w:type="dxa" w:w="160"/>
              <w:right w:type="dxa" w:w="240"/>
            </w:tcMar>
          </w:tcPr>
          <w:p>
            <w:pPr>
              <w:spacing w:after="0"/>
            </w:pPr>
            <w:r>
              <w:rPr>
                <w:rFonts w:ascii="Arial" w:cs="Arial" w:eastAsia="Arial" w:hAnsi="Arial"/>
                <w:b w:val="false"/>
                <w:bCs w:val="false"/>
                <w:color w:val="185FA5"/>
                <w:sz w:val="22"/>
                <w:szCs w:val="22"/>
              </w:rPr>
              <w:t xml:space="preserve">MODAL TITLE: "Log this as executed?" BODY: "You are recording that you have executed this trade in your real account. Kairon will track this prediction's outcome and update its knowledge base. IMPORTANT: Kairon does not execute trades on your behalf. This action only logs your decision for learning purposes. The expected profit shown is an estimate — actual results may differ significantly." BUTTONS: "Yes, log it" (teal) | "Cancel" (grey)</w:t>
            </w:r>
          </w:p>
        </w:tc>
      </w:tr>
    </w:tbl>
    <w:p>
      <w:pPr>
        <w:spacing w:after="160"/>
      </w:pPr>
      <w:r>
        <w:t xml:space="preserve"/>
      </w:r>
    </w:p>
    <w:p>
      <w:pPr>
        <w:pStyle w:val="Heading2"/>
        <w:spacing w:before="280" w:after="120"/>
      </w:pPr>
      <w:r>
        <w:rPr>
          <w:rFonts w:ascii="Arial" w:cs="Arial" w:eastAsia="Arial" w:hAnsi="Arial"/>
          <w:b/>
          <w:bCs/>
          <w:color w:val="0F6E56"/>
          <w:sz w:val="28"/>
          <w:szCs w:val="28"/>
        </w:rPr>
        <w:t xml:space="preserve">4. First-Run Legal Acceptance</w:t>
      </w:r>
    </w:p>
    <w:p>
      <w:pPr>
        <w:spacing w:after="120"/>
      </w:pPr>
      <w:r>
        <w:rPr>
          <w:rFonts w:ascii="Arial" w:cs="Arial" w:eastAsia="Arial" w:hAnsi="Arial"/>
          <w:sz w:val="22"/>
          <w:szCs w:val="22"/>
        </w:rPr>
        <w:t xml:space="preserve">During the welcome wizard (Step 1), the user must scroll through and acknowledge: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60"/>
              <w:left w:type="dxa" w:w="240"/>
              <w:bottom w:type="dxa" w:w="160"/>
              <w:right w:type="dxa" w:w="240"/>
            </w:tcMar>
          </w:tcPr>
          <w:p>
            <w:pPr>
              <w:spacing w:after="0"/>
            </w:pPr>
            <w:r>
              <w:rPr>
                <w:rFonts w:ascii="Arial" w:cs="Arial" w:eastAsia="Arial" w:hAnsi="Arial"/>
                <w:b w:val="false"/>
                <w:bCs w:val="false"/>
                <w:color w:val="333333"/>
                <w:sz w:val="22"/>
                <w:szCs w:val="22"/>
              </w:rPr>
              <w:t xml:space="preserve">KAIRON TERMS OF USE (must scroll to bottom to enable "Accept" button): Kairon is an educational financial simulation tool. By using Kairon: (1) You acknowledge that all recommendations are simulations, not financial advice. (2) You acknowledge that AI-generated analysis can be wrong and should not be your sole basis for investment decisions. (3) You acknowledge that historical performance patterns do not guarantee future results. (4) You confirm you are using this tool for educational and research purposes. (5) You agree that you are solely responsible for any financial decisions you make. This software is provided "as is" without warranty.</w:t>
            </w:r>
          </w:p>
        </w:tc>
      </w:tr>
    </w:tbl>
    <w:p>
      <w:pPr>
        <w:spacing w:after="160"/>
      </w:pPr>
      <w:r>
        <w:t xml:space="preserve"/>
      </w:r>
    </w:p>
    <w:p>
      <w:pPr>
        <w:spacing w:after="120"/>
      </w:pPr>
      <w:r>
        <w:rPr>
          <w:rFonts w:ascii="Arial" w:cs="Arial" w:eastAsia="Arial" w:hAnsi="Arial"/>
          <w:sz w:val="22"/>
          <w:szCs w:val="22"/>
        </w:rPr>
        <w:t xml:space="preserve">Acceptance is stored locally. The acceptance date is shown in the status modal under "Legal."</w:t>
      </w:r>
    </w:p>
    <w:p>
      <w:pPr>
        <w:spacing w:after="160"/>
      </w:pPr>
      <w:r>
        <w:t xml:space="preserve"/>
      </w:r>
    </w:p>
    <w:p>
      <w:pPr>
        <w:pStyle w:val="Heading2"/>
        <w:spacing w:before="280" w:after="120"/>
      </w:pPr>
      <w:r>
        <w:rPr>
          <w:rFonts w:ascii="Arial" w:cs="Arial" w:eastAsia="Arial" w:hAnsi="Arial"/>
          <w:b/>
          <w:bCs/>
          <w:color w:val="0F6E56"/>
          <w:sz w:val="28"/>
          <w:szCs w:val="28"/>
        </w:rPr>
        <w:t xml:space="preserve">5. LLM Explanation Disclaimer</w:t>
      </w:r>
    </w:p>
    <w:p>
      <w:pPr>
        <w:spacing w:after="120"/>
      </w:pPr>
      <w:r>
        <w:rPr>
          <w:rFonts w:ascii="Arial" w:cs="Arial" w:eastAsia="Arial" w:hAnsi="Arial"/>
          <w:sz w:val="22"/>
          <w:szCs w:val="22"/>
        </w:rPr>
        <w:t xml:space="preserve">Every AI-generated explanation (the plain-English narrative on move cards) is followed by:</w:t>
      </w:r>
    </w:p>
    <w:p>
      <w:pPr>
        <w:spacing w:after="160"/>
      </w:pPr>
      <w:r>
        <w:t xml:space="preserve"/>
      </w:r>
    </w:p>
    <w:p>
      <w:pPr>
        <w:shd w:fill="F4F4F4" w:val="clear"/>
        <w:spacing w:after="80"/>
        <w:ind w:left="360"/>
      </w:pPr>
      <w:r>
        <w:rPr>
          <w:rFonts w:ascii="Courier New" w:cs="Courier New" w:eastAsia="Courier New" w:hAnsi="Courier New"/>
          <w:color w:val="333333"/>
          <w:sz w:val="18"/>
          <w:szCs w:val="18"/>
        </w:rPr>
        <w:t xml:space="preserve">[AI-generated analysis · Based on public data · Not financial advice]</w:t>
      </w:r>
    </w:p>
    <w:p>
      <w:pPr>
        <w:spacing w:after="160"/>
      </w:pPr>
      <w:r>
        <w:t xml:space="preserve"/>
      </w:r>
    </w:p>
    <w:p>
      <w:pPr>
        <w:spacing w:after="120"/>
      </w:pPr>
      <w:r>
        <w:rPr>
          <w:rFonts w:ascii="Arial" w:cs="Arial" w:eastAsia="Arial" w:hAnsi="Arial"/>
          <w:sz w:val="22"/>
          <w:szCs w:val="22"/>
        </w:rPr>
        <w:t xml:space="preserve">This text is in grey, 11px, below the explanation text. It cannot be removed.</w:t>
      </w:r>
    </w:p>
    <w:p>
      <w:pPr>
        <w:spacing w:after="160"/>
      </w:pPr>
      <w:r>
        <w:t xml:space="preserve"/>
      </w:r>
    </w:p>
    <w:p>
      <w:pPr>
        <w:pStyle w:val="Heading2"/>
        <w:spacing w:before="280" w:after="120"/>
      </w:pPr>
      <w:r>
        <w:rPr>
          <w:rFonts w:ascii="Arial" w:cs="Arial" w:eastAsia="Arial" w:hAnsi="Arial"/>
          <w:b/>
          <w:bCs/>
          <w:color w:val="0F6E56"/>
          <w:sz w:val="28"/>
          <w:szCs w:val="28"/>
        </w:rPr>
        <w:t xml:space="preserve">6. Tax Disclaimer</w:t>
      </w:r>
    </w:p>
    <w:p>
      <w:pPr>
        <w:spacing w:after="120"/>
      </w:pPr>
      <w:r>
        <w:rPr>
          <w:rFonts w:ascii="Arial" w:cs="Arial" w:eastAsia="Arial" w:hAnsi="Arial"/>
          <w:sz w:val="22"/>
          <w:szCs w:val="22"/>
        </w:rPr>
        <w:t xml:space="preserve">The cost engine calculates estimated capital gains tax. This section specifies the required disclaimer language: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60"/>
              <w:left w:type="dxa" w:w="240"/>
              <w:bottom w:type="dxa" w:w="160"/>
              <w:right w:type="dxa" w:w="240"/>
            </w:tcMar>
          </w:tcPr>
          <w:p>
            <w:pPr>
              <w:spacing w:after="0"/>
            </w:pPr>
            <w:r>
              <w:rPr>
                <w:rFonts w:ascii="Arial" w:cs="Arial" w:eastAsia="Arial" w:hAnsi="Arial"/>
                <w:b w:val="false"/>
                <w:bCs w:val="false"/>
                <w:color w:val="854F0B"/>
                <w:sz w:val="22"/>
                <w:szCs w:val="22"/>
              </w:rPr>
              <w:t xml:space="preserve">TAX DISCLAIMER (shown next to every tax calculation): "Tax estimates use simplified US federal rates (short-term 37%, long-term 20%) and do not account for your specific tax situation, state taxes, tax-loss harvesting, wash-sale rules, or international tax obligations. Consult a qualified tax professional before making decisions based on tax implications."</w:t>
            </w:r>
          </w:p>
        </w:tc>
      </w:tr>
    </w:tbl>
    <w:p>
      <w:pPr>
        <w:spacing w:after="160"/>
      </w:pPr>
      <w:r>
        <w:t xml:space="preserve"/>
      </w:r>
    </w:p>
    <w:p>
      <w:pPr>
        <w:spacing w:after="120"/>
      </w:pPr>
      <w:r>
        <w:rPr>
          <w:rFonts w:ascii="Arial" w:cs="Arial" w:eastAsia="Arial" w:hAnsi="Arial"/>
          <w:sz w:val="22"/>
          <w:szCs w:val="22"/>
        </w:rPr>
        <w:t xml:space="preserve">Additionally: when the tax engine detects the user may not be in the US (based on currency or regional data preferences), the following replaces the standard tax calculation: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AEEDA" w:val="clear"/>
            <w:tcMar>
              <w:top w:type="dxa" w:w="160"/>
              <w:left w:type="dxa" w:w="240"/>
              <w:bottom w:type="dxa" w:w="160"/>
              <w:right w:type="dxa" w:w="240"/>
            </w:tcMar>
          </w:tcPr>
          <w:p>
            <w:pPr>
              <w:spacing w:after="0"/>
            </w:pPr>
            <w:r>
              <w:rPr>
                <w:rFonts w:ascii="Arial" w:cs="Arial" w:eastAsia="Arial" w:hAnsi="Arial"/>
                <w:b w:val="false"/>
                <w:bCs w:val="false"/>
                <w:color w:val="854F0B"/>
                <w:sz w:val="22"/>
                <w:szCs w:val="22"/>
              </w:rPr>
              <w:t xml:space="preserve">Tax calculations are configured for US federal rates. Your jurisdiction may have different rates, rules, or no capital gains tax. Tax figures shown may not apply to you. [Configure your tax region →]</w:t>
            </w:r>
          </w:p>
        </w:tc>
      </w:tr>
    </w:tbl>
    <w:p>
      <w:pPr>
        <w:spacing w:after="160"/>
      </w:pPr>
      <w:r>
        <w:t xml:space="preserve"/>
      </w:r>
    </w:p>
    <w:p>
      <w:pPr>
        <w:pStyle w:val="Heading2"/>
        <w:spacing w:before="280" w:after="120"/>
      </w:pPr>
      <w:r>
        <w:rPr>
          <w:rFonts w:ascii="Arial" w:cs="Arial" w:eastAsia="Arial" w:hAnsi="Arial"/>
          <w:b/>
          <w:bCs/>
          <w:color w:val="0F6E56"/>
          <w:sz w:val="28"/>
          <w:szCs w:val="28"/>
        </w:rPr>
        <w:t xml:space="preserve">7. Data Source Disclaimer</w:t>
      </w:r>
    </w:p>
    <w:p>
      <w:pPr>
        <w:spacing w:after="120"/>
      </w:pPr>
      <w:r>
        <w:rPr>
          <w:rFonts w:ascii="Arial" w:cs="Arial" w:eastAsia="Arial" w:hAnsi="Arial"/>
          <w:sz w:val="22"/>
          <w:szCs w:val="22"/>
        </w:rPr>
        <w:t xml:space="preserve">Shown in the status modal and in the Settings screen: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1EFE8" w:val="clear"/>
            <w:tcMar>
              <w:top w:type="dxa" w:w="160"/>
              <w:left w:type="dxa" w:w="240"/>
              <w:bottom w:type="dxa" w:w="160"/>
              <w:right w:type="dxa" w:w="240"/>
            </w:tcMar>
          </w:tcPr>
          <w:p>
            <w:pPr>
              <w:spacing w:after="0"/>
            </w:pPr>
            <w:r>
              <w:rPr>
                <w:rFonts w:ascii="Arial" w:cs="Arial" w:eastAsia="Arial" w:hAnsi="Arial"/>
                <w:b w:val="false"/>
                <w:bCs w:val="false"/>
                <w:color w:val="333333"/>
                <w:sz w:val="22"/>
                <w:szCs w:val="22"/>
              </w:rPr>
              <w:t xml:space="preserve">Kairon uses publicly available data from Yahoo Finance, GDELT, FRED, and web search sources. This data may be delayed, inaccurate, or incomplete. Kairon is not affiliated with any of these data providers. Market data shown may not reflect real-time prices. Always verify prices with your broker before executing any trade.</w:t>
            </w:r>
          </w:p>
        </w:tc>
      </w:tr>
    </w:tbl>
    <w:p>
      <w:pPr>
        <w:spacing w:after="160"/>
      </w:pPr>
      <w:r>
        <w:t xml:space="preserve"/>
      </w:r>
    </w:p>
    <w:p>
      <w:pPr>
        <w:pStyle w:val="Heading2"/>
        <w:spacing w:before="280" w:after="120"/>
      </w:pPr>
      <w:r>
        <w:rPr>
          <w:rFonts w:ascii="Arial" w:cs="Arial" w:eastAsia="Arial" w:hAnsi="Arial"/>
          <w:b/>
          <w:bCs/>
          <w:color w:val="0F6E56"/>
          <w:sz w:val="28"/>
          <w:szCs w:val="28"/>
        </w:rPr>
        <w:t xml:space="preserve">8. What Kairon's Confidence Scores Mean (Mandatory Explanation)</w:t>
      </w:r>
    </w:p>
    <w:p>
      <w:pPr>
        <w:spacing w:after="120"/>
      </w:pPr>
      <w:r>
        <w:rPr>
          <w:rFonts w:ascii="Arial" w:cs="Arial" w:eastAsia="Arial" w:hAnsi="Arial"/>
          <w:sz w:val="22"/>
          <w:szCs w:val="22"/>
        </w:rPr>
        <w:t xml:space="preserve">The confidence score (e.g., "82% confidence") requires an in-context explanation. Shown as a tooltip on every confidence score display: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6F1FB" w:val="clear"/>
            <w:tcMar>
              <w:top w:type="dxa" w:w="160"/>
              <w:left w:type="dxa" w:w="240"/>
              <w:bottom w:type="dxa" w:w="160"/>
              <w:right w:type="dxa" w:w="240"/>
            </w:tcMar>
          </w:tcPr>
          <w:p>
            <w:pPr>
              <w:spacing w:after="0"/>
            </w:pPr>
            <w:r>
              <w:rPr>
                <w:rFonts w:ascii="Arial" w:cs="Arial" w:eastAsia="Arial" w:hAnsi="Arial"/>
                <w:b w:val="false"/>
                <w:bCs w:val="false"/>
                <w:color w:val="185FA5"/>
                <w:sz w:val="22"/>
                <w:szCs w:val="22"/>
              </w:rPr>
              <w:t xml:space="preserve">TOOLTIP TEXT: "This confidence score reflects how well the current market conditions match historical situations where this type of prediction was correct in our simulation history. It is NOT a probability of profit. An 82% confidence score means: in similar past simulations, the predicted direction was correct 82% of the time. Markets can behave differently from historical patterns, especially during unprecedented events. Higher confidence does not guarantee better outcomes."</w:t>
            </w:r>
          </w:p>
        </w:tc>
      </w:tr>
    </w:tbl>
    <w:p>
      <w:pPr>
        <w:spacing w:after="160"/>
      </w:pPr>
      <w:r>
        <w:t xml:space="preserve"/>
      </w:r>
    </w:p>
    <w:p>
      <w:pPr>
        <w:pStyle w:val="Heading2"/>
        <w:spacing w:before="280" w:after="120"/>
      </w:pPr>
      <w:r>
        <w:rPr>
          <w:rFonts w:ascii="Arial" w:cs="Arial" w:eastAsia="Arial" w:hAnsi="Arial"/>
          <w:b/>
          <w:bCs/>
          <w:color w:val="0F6E56"/>
          <w:sz w:val="28"/>
          <w:szCs w:val="28"/>
        </w:rPr>
        <w:t xml:space="preserve">9. Prohibited Claims</w:t>
      </w:r>
    </w:p>
    <w:p>
      <w:pPr>
        <w:spacing w:after="120"/>
      </w:pPr>
      <w:r>
        <w:rPr>
          <w:rFonts w:ascii="Arial" w:cs="Arial" w:eastAsia="Arial" w:hAnsi="Arial"/>
          <w:sz w:val="22"/>
          <w:szCs w:val="22"/>
        </w:rPr>
        <w:t xml:space="preserve">The LLM explanation generator must be instructed to never make the following types of statements:</w:t>
      </w:r>
    </w:p>
    <w:p>
      <w:pPr>
        <w:pStyle w:val="ListParagraph"/>
        <w:numPr>
          <w:ilvl w:val="0"/>
          <w:numId w:val="2"/>
        </w:numPr>
        <w:spacing w:after="80"/>
      </w:pPr>
      <w:r>
        <w:rPr>
          <w:rFonts w:ascii="Arial" w:cs="Arial" w:eastAsia="Arial" w:hAnsi="Arial"/>
          <w:sz w:val="22"/>
          <w:szCs w:val="22"/>
        </w:rPr>
        <w:t xml:space="preserve">"Kairon predicts Gold will reach $X" — predictions without uncertainty ranges are prohibited</w:t>
      </w:r>
    </w:p>
    <w:p>
      <w:pPr>
        <w:pStyle w:val="ListParagraph"/>
        <w:numPr>
          <w:ilvl w:val="0"/>
          <w:numId w:val="2"/>
        </w:numPr>
        <w:spacing w:after="80"/>
      </w:pPr>
      <w:r>
        <w:rPr>
          <w:rFonts w:ascii="Arial" w:cs="Arial" w:eastAsia="Arial" w:hAnsi="Arial"/>
          <w:sz w:val="22"/>
          <w:szCs w:val="22"/>
        </w:rPr>
        <w:t xml:space="preserve">"This is a guaranteed profit opportunity" — prohibited absolutely</w:t>
      </w:r>
    </w:p>
    <w:p>
      <w:pPr>
        <w:pStyle w:val="ListParagraph"/>
        <w:numPr>
          <w:ilvl w:val="0"/>
          <w:numId w:val="2"/>
        </w:numPr>
        <w:spacing w:after="80"/>
      </w:pPr>
      <w:r>
        <w:rPr>
          <w:rFonts w:ascii="Arial" w:cs="Arial" w:eastAsia="Arial" w:hAnsi="Arial"/>
          <w:sz w:val="22"/>
          <w:szCs w:val="22"/>
        </w:rPr>
        <w:t xml:space="preserve">"The market will definitely..." — prohibited; use "historically" or "tends to"</w:t>
      </w:r>
    </w:p>
    <w:p>
      <w:pPr>
        <w:pStyle w:val="ListParagraph"/>
        <w:numPr>
          <w:ilvl w:val="0"/>
          <w:numId w:val="2"/>
        </w:numPr>
        <w:spacing w:after="80"/>
      </w:pPr>
      <w:r>
        <w:rPr>
          <w:rFonts w:ascii="Arial" w:cs="Arial" w:eastAsia="Arial" w:hAnsi="Arial"/>
          <w:sz w:val="22"/>
          <w:szCs w:val="22"/>
        </w:rPr>
        <w:t xml:space="preserve">"You should buy/sell..." — use "the analysis suggests" or "the signal indicates"</w:t>
      </w:r>
    </w:p>
    <w:p>
      <w:pPr>
        <w:pStyle w:val="ListParagraph"/>
        <w:numPr>
          <w:ilvl w:val="0"/>
          <w:numId w:val="2"/>
        </w:numPr>
        <w:spacing w:after="80"/>
      </w:pPr>
      <w:r>
        <w:rPr>
          <w:rFonts w:ascii="Arial" w:cs="Arial" w:eastAsia="Arial" w:hAnsi="Arial"/>
          <w:sz w:val="22"/>
          <w:szCs w:val="22"/>
        </w:rPr>
        <w:t xml:space="preserve">"Kairon has been correct X% of the time" — without full context of sample size and time period</w:t>
      </w:r>
    </w:p>
    <w:p>
      <w:pPr>
        <w:spacing w:after="160"/>
      </w:pPr>
      <w:r>
        <w:t xml:space="preserve"/>
      </w:r>
    </w:p>
    <w:p>
      <w:pPr>
        <w:spacing w:after="120"/>
      </w:pPr>
      <w:r>
        <w:rPr>
          <w:rFonts w:ascii="Arial" w:cs="Arial" w:eastAsia="Arial" w:hAnsi="Arial"/>
          <w:sz w:val="22"/>
          <w:szCs w:val="22"/>
        </w:rPr>
        <w:t xml:space="preserve">These restrictions are enforced via a system prompt prefix on every LLM call:</w:t>
      </w:r>
    </w:p>
    <w:p>
      <w:pPr>
        <w:shd w:fill="F4F4F4" w:val="clear"/>
        <w:spacing w:after="80"/>
        <w:ind w:left="360"/>
      </w:pPr>
      <w:r>
        <w:rPr>
          <w:rFonts w:ascii="Courier New" w:cs="Courier New" w:eastAsia="Courier New" w:hAnsi="Courier New"/>
          <w:color w:val="333333"/>
          <w:sz w:val="18"/>
          <w:szCs w:val="18"/>
        </w:rPr>
        <w:t xml:space="preserve">SYSTEM: You are a financial education assistant. Always express uncertainty.</w:t>
      </w:r>
    </w:p>
    <w:p>
      <w:pPr>
        <w:shd w:fill="F4F4F4" w:val="clear"/>
        <w:spacing w:after="80"/>
        <w:ind w:left="360"/>
      </w:pPr>
      <w:r>
        <w:rPr>
          <w:rFonts w:ascii="Courier New" w:cs="Courier New" w:eastAsia="Courier New" w:hAnsi="Courier New"/>
          <w:color w:val="333333"/>
          <w:sz w:val="18"/>
          <w:szCs w:val="18"/>
        </w:rPr>
        <w:t xml:space="preserve">Never make definitive predictions. Use "historically", "tends to", "the data suggests".</w:t>
      </w:r>
    </w:p>
    <w:p>
      <w:pPr>
        <w:shd w:fill="F4F4F4" w:val="clear"/>
        <w:spacing w:after="80"/>
        <w:ind w:left="360"/>
      </w:pPr>
      <w:r>
        <w:rPr>
          <w:rFonts w:ascii="Courier New" w:cs="Courier New" w:eastAsia="Courier New" w:hAnsi="Courier New"/>
          <w:color w:val="333333"/>
          <w:sz w:val="18"/>
          <w:szCs w:val="18"/>
        </w:rPr>
        <w:t xml:space="preserve">Never say "you should" — say "the analysis indicates" or "the signal suggests".</w:t>
      </w:r>
    </w:p>
    <w:p>
      <w:pPr>
        <w:shd w:fill="F4F4F4" w:val="clear"/>
        <w:spacing w:after="80"/>
        <w:ind w:left="360"/>
      </w:pPr>
      <w:r>
        <w:rPr>
          <w:rFonts w:ascii="Courier New" w:cs="Courier New" w:eastAsia="Courier New" w:hAnsi="Courier New"/>
          <w:color w:val="333333"/>
          <w:sz w:val="18"/>
          <w:szCs w:val="18"/>
        </w:rPr>
        <w:t xml:space="preserve">Always note that past patterns may not repeat.</w:t>
      </w:r>
    </w:p>
    <w:p>
      <w:pPr>
        <w:spacing w:after="160"/>
      </w:pPr>
      <w:r>
        <w:t xml:space="preserve"/>
      </w:r>
    </w:p>
    <w:p>
      <w:pPr>
        <w:pStyle w:val="Heading2"/>
        <w:spacing w:before="280" w:after="120"/>
      </w:pPr>
      <w:r>
        <w:rPr>
          <w:rFonts w:ascii="Arial" w:cs="Arial" w:eastAsia="Arial" w:hAnsi="Arial"/>
          <w:b/>
          <w:bCs/>
          <w:color w:val="0F6E56"/>
          <w:sz w:val="28"/>
          <w:szCs w:val="28"/>
        </w:rPr>
        <w:t xml:space="preserve">10. Jurisdiction Restrictions</w:t>
      </w:r>
    </w:p>
    <w:p>
      <w:pPr>
        <w:spacing w:after="120"/>
      </w:pPr>
      <w:r>
        <w:rPr>
          <w:rFonts w:ascii="Arial" w:cs="Arial" w:eastAsia="Arial" w:hAnsi="Arial"/>
          <w:sz w:val="22"/>
          <w:szCs w:val="22"/>
        </w:rPr>
        <w:t xml:space="preserve">Kairon is not currently designed for use in jurisdictions where providing algorithmic investment analysis requires a license. Users in the following situations should consult local regulations:</w:t>
      </w:r>
    </w:p>
    <w:p>
      <w:pPr>
        <w:pStyle w:val="ListParagraph"/>
        <w:numPr>
          <w:ilvl w:val="0"/>
          <w:numId w:val="2"/>
        </w:numPr>
        <w:spacing w:after="80"/>
      </w:pPr>
      <w:r>
        <w:rPr>
          <w:rFonts w:ascii="Arial" w:cs="Arial" w:eastAsia="Arial" w:hAnsi="Arial"/>
          <w:sz w:val="22"/>
          <w:szCs w:val="22"/>
        </w:rPr>
        <w:t xml:space="preserve">Professional financial advisers providing analysis to clients</w:t>
      </w:r>
    </w:p>
    <w:p>
      <w:pPr>
        <w:pStyle w:val="ListParagraph"/>
        <w:numPr>
          <w:ilvl w:val="0"/>
          <w:numId w:val="2"/>
        </w:numPr>
        <w:spacing w:after="80"/>
      </w:pPr>
      <w:r>
        <w:rPr>
          <w:rFonts w:ascii="Arial" w:cs="Arial" w:eastAsia="Arial" w:hAnsi="Arial"/>
          <w:sz w:val="22"/>
          <w:szCs w:val="22"/>
        </w:rPr>
        <w:t xml:space="preserve">Users in the EU under MiFID II requirements</w:t>
      </w:r>
    </w:p>
    <w:p>
      <w:pPr>
        <w:pStyle w:val="ListParagraph"/>
        <w:numPr>
          <w:ilvl w:val="0"/>
          <w:numId w:val="2"/>
        </w:numPr>
        <w:spacing w:after="80"/>
      </w:pPr>
      <w:r>
        <w:rPr>
          <w:rFonts w:ascii="Arial" w:cs="Arial" w:eastAsia="Arial" w:hAnsi="Arial"/>
          <w:sz w:val="22"/>
          <w:szCs w:val="22"/>
        </w:rPr>
        <w:t xml:space="preserve">Users managing funds over regulatory thresholds</w:t>
      </w:r>
    </w:p>
    <w:p>
      <w:pPr>
        <w:spacing w:after="160"/>
      </w:pPr>
      <w:r>
        <w:t xml:space="preserve"/>
      </w:r>
    </w:p>
    <w:p>
      <w:pPr>
        <w:spacing w:after="120"/>
      </w:pPr>
      <w:r>
        <w:rPr>
          <w:rFonts w:ascii="Arial" w:cs="Arial" w:eastAsia="Arial" w:hAnsi="Arial"/>
          <w:sz w:val="22"/>
          <w:szCs w:val="22"/>
        </w:rPr>
        <w:t xml:space="preserve">The Settings screen includes a "Jurisdiction" note with a link to relevant regulatory guidance per country (future feature — placeholder in v1).</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0F6E56"/>
      <w:sz w:val="28"/>
      <w:szCs w:val="28"/>
    </w:rPr>
  </w:style>
  <w:style w:type="paragraph" w:styleId="Heading3">
    <w:name w:val="Heading 3"/>
    <w:basedOn w:val="Normal"/>
    <w:next w:val="Normal"/>
    <w:qFormat/>
    <w:pPr>
      <w:spacing w:before="200" w:after="80"/>
      <w:outlineLvl w:val="2"/>
    </w:pPr>
    <w:rPr>
      <w:rFonts w:ascii="Arial" w:cs="Arial" w:eastAsia="Arial" w:hAnsi="Arial"/>
      <w:b/>
      <w:bCs/>
      <w:color w:val="5F5E5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2026-03-23T07:30:18.493Z</dcterms:created>
  <dcterms:modified xsi:type="dcterms:W3CDTF">2026-03-23T07:30:18.493Z</dcterms:modified>
</cp:coreProperties>
</file>

<file path=docProps/custom.xml><?xml version="1.0" encoding="utf-8"?>
<Properties xmlns="http://schemas.openxmlformats.org/officeDocument/2006/custom-properties" xmlns:vt="http://schemas.openxmlformats.org/officeDocument/2006/docPropsVTypes"/>
</file>