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21 — UI Addendum: Screen 6 &amp; Internationalization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PURPOSE: (1) Formally adds Screen 6 (Connection Map) to the master UI specification — resolving the discrepancy between Document 09 and Documents 14–15. (2) Adds a Tax Region configuration for non-US users — resolving the US-only tax issue. (3) Adds the persistent disclaimer elements required by Document 18.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Screen 6 — Connection Map (Official Addition)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 6 is now an official part of the navigation. The sidebar adds a sixth nav item: "Connection Map" with a network/graph icon. The topbar navigation updates from 5 to 6 screens.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Navigation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 navigation (updated):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Mission Control      [globe icon]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Move Recommendations [lightning icon]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Agent Intelligence   [brain icon]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Knowledge Base       [database icon]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Cost Calculator      [calculator icon]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Connection Map       [network icon]  ← NEW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6 Access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 6 is also accessible via: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"Show your work ↗" button on any move recommendation card → opens Connection Map pre-filtered for that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"Connection map ↗" link on agent cards in Screen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shortcut: Cmd/Ctrl+6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6 Layout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Connection Map screen layout (full specification — supplements Documents 14 and 15):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Topbar (shared)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per Document 09 — no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 (280px)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selector + prediction selector + source filter checkboxes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(main area)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node graph (D3.js force-directed layout)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 (300px)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strength breakdown + increasing/decreasing forces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strip (200px)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signal feed — scrolling updates every 15 minutes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Progressive Disclosure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 6 is hidden from the nav until the user executes their first recommendation (Document 16, progressive disclosure table). Before this milestone, "Connection Map" appears in the sidebar as a greyed-out item with tooltip: "Available after your first prediction — helps you understand the analysis."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Global Navigation Consistency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elements appear identically across all 6 screens: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Topbar: Logo | Regime chip | SIM MODE badge | Portfolio value | UTC clock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Sidebar: 6 nav items | Sim portfolio card | Regime switcher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bar (bottom, conditional): Data source health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button: "?" in top-right corner — contextual per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Disclaimer: "SIM MODE — Not financial advice" always visible in topbar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Tax Region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tax engine supports multiple jurisdictions. Configurable from Settings. This resolves the "US-only tax, not flagged in UI" issue.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Settings Screen — Tax Region Selector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"Tax Region" selector in Settings (accessible from the user menu in topbar):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Short-Term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Long-Term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Kingdom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(basic) / 20% (higher)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 + solidarity surcharge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 + solidarity surcharge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discount then marginal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of gain at marginal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of gain at marginal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Singapore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(no capital gains tax)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(no capital gains tax)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User-defined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User-defined 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non-US region is selected, the cost engine uses the appropriate rates and the tax disclaimer updates to match the selected jurisdiction.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Auto-Detection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first run, the system attempts to detect the user's jurisdiction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timezone (high confidence for region detection)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language setting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detected jurisdiction differs from default US: show a prompt "We detected you may be in [Country]. Would you like to switch your tax region to [Country rates]?" User can accept, keep US, or choose manually.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Persistent Disclaimer Elements (UI Implementation)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Implementing Document 18 requirements in the UI: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4A. SIM MODE Badge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Topbar, always visible */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.sim-badge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var(--color-background-warning);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var(--color-text-warning);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"JetBrains Mono", monospace;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font-size: 11px;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font-weight: 500;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4px 10px;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border-radius: 4px;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user-select: none;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4B. Screen 2 Disclaimer Header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Above all move cards, not inside any card */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.disclaimer-header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var(--color-background-secondary);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border-left: 3px solid var(--color-border-warning);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10px 14px;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font-size: 12px;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var(--color-text-secondary);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margin-bottom: 16px;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4C. AI Explanation Attribution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Below every LLM-generated explanation */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.ai-attribution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font-size: 11px;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var(--color-text-tertiary);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margin-top: 6px;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font-style: italic;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Text: "AI-generated · Public data only · Not financial advice"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Agent Weight Consistency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04, AGENT_DESIGN.md, and Document 06 contained inconsistent agent weight tables. This section establishes the single authoritative source.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authoritative agent base weights (from AGENT_DESIGN.md Trader Agent, Step 1) are: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Domain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Short-term price signals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Fundamental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Intrinsic value, long-term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Events, catalysts, sentiment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Cross-Market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Contagion, correlations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Market-type adjustments (from Document 04) and regime multipliers (from AGENT_DESIGN.md) are applied on top of these base weights. Document 04 tables are reference — the AGENT_DESIGN.md Trader Agent formula is the implementation authority.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2"/>
                <w:szCs w:val="22"/>
              </w:rPr>
              <w:t xml:space="preserve">RULE: When documents conflict on agent weights, AGENT_DESIGN.md takes precedence. Document 04 tables are illustrative examples of the adjustment logic, not exact values.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2026-03-23T07:30:18.608Z</dcterms:created>
  <dcterms:modified xsi:type="dcterms:W3CDTF">2026-03-23T07:30:18.608Z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