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复归后冲绳民间组织 / NGO 网络演变研究</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项目定位</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本项目旨在研究 1972 年冲绳复归以来，冲绳民间组织、社会运动组织与 NGO/NPO 网络如何形成、重组和扩展。研究关注的不只是有哪些组织，而是这些组织在不同历史阶段如何连接彼此、围绕哪些议题行动、从哪些公开渠道获得资源、向哪些政府或国际场域发声</w:t>
      </w:r>
    </w:p>
    <w:p>
      <w:pPr>
        <w:spacing w:before="120" w:after="120" w:line="288" w:lineRule="auto"/>
        <w:ind w:left="0"/>
        <w:jc w:val="left"/>
      </w:pPr>
    </w:p>
    <w:p>
      <w:pPr>
        <w:spacing w:before="120" w:after="120" w:line="288" w:lineRule="auto"/>
        <w:ind w:left="0"/>
        <w:jc w:val="left"/>
      </w:pPr>
      <w:r>
        <w:rPr>
          <w:rFonts w:eastAsia="等线" w:ascii="Arial" w:cs="Arial" w:hAnsi="Arial"/>
          <w:sz w:val="22"/>
        </w:rPr>
        <w:t>本项目以历史网络分析为主轴，结合社会网络分析（SNA）、文本编码、事件分期比较、空间分析的综合研究设计</w:t>
      </w:r>
    </w:p>
    <w:p>
      <w:pPr>
        <w:spacing w:before="120" w:after="120" w:line="288" w:lineRule="auto"/>
        <w:ind w:left="0"/>
        <w:jc w:val="left"/>
      </w:pPr>
      <w:r>
        <w:rPr>
          <w:rFonts w:eastAsia="等线" w:ascii="Arial" w:cs="Arial" w:hAnsi="Arial"/>
          <w:sz w:val="22"/>
        </w:rPr>
        <w:t>核心思路是先把冲绳民间组织、人物、机构、议题、地点、事件和行动关系转化为可复核的历史数据底库，再从底库中切出联盟网络、组织谱系、议题网络、资源渠道、媒体可见度、国际化路径等多个可选研究模块，观察不同历史阶段中组织网络如何形成、重组、分化和国际化</w:t>
      </w:r>
    </w:p>
    <w:p>
      <w:pPr>
        <w:spacing w:before="120" w:after="120" w:line="288" w:lineRule="auto"/>
        <w:ind w:left="0"/>
        <w:jc w:val="left"/>
      </w:pPr>
    </w:p>
    <w:p>
      <w:pPr>
        <w:spacing w:before="120" w:after="120" w:line="288" w:lineRule="auto"/>
        <w:ind w:left="0"/>
        <w:jc w:val="left"/>
      </w:pPr>
      <w:r>
        <w:rPr>
          <w:rFonts w:eastAsia="等线" w:ascii="Arial" w:cs="Arial" w:hAnsi="Arial"/>
          <w:sz w:val="22"/>
        </w:rPr>
        <w:t>本项目的研究成果可以服务三类目标：</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第一，形成一篇以 </w:t>
      </w:r>
      <w:r>
        <w:rPr>
          <w:rFonts w:eastAsia="等线" w:ascii="Arial" w:cs="Arial" w:hAnsi="Arial"/>
          <w:b w:val="true"/>
          <w:sz w:val="22"/>
        </w:rPr>
        <w:t>冲绳民间组织网络演变</w:t>
      </w:r>
      <w:r>
        <w:rPr>
          <w:rFonts w:eastAsia="等线" w:ascii="Arial" w:cs="Arial" w:hAnsi="Arial"/>
          <w:sz w:val="22"/>
        </w:rPr>
        <w:t xml:space="preserve"> 为核心的学术文章，重点解释 1972 年以来组织网络、议题结构和行动场域如何变化</w:t>
      </w:r>
    </w:p>
    <w:p>
      <w:pPr>
        <w:spacing w:before="120" w:after="120" w:line="288" w:lineRule="auto"/>
        <w:ind w:left="0"/>
        <w:jc w:val="left"/>
      </w:pPr>
      <w:r>
        <w:rPr>
          <w:rFonts w:eastAsia="等线" w:ascii="Arial" w:cs="Arial" w:hAnsi="Arial"/>
          <w:sz w:val="22"/>
        </w:rPr>
        <w:t>第二，为后续田野调查、访谈和档案调研提供明确的问题清单，帮助研究团队判断哪些组织、人物、事件和关系最值得进一步追踪</w:t>
      </w:r>
    </w:p>
    <w:p>
      <w:pPr>
        <w:spacing w:before="120" w:after="120" w:line="288" w:lineRule="auto"/>
        <w:ind w:left="0"/>
        <w:jc w:val="left"/>
      </w:pPr>
      <w:r>
        <w:rPr>
          <w:rFonts w:eastAsia="等线" w:ascii="Arial" w:cs="Arial" w:hAnsi="Arial"/>
          <w:sz w:val="22"/>
        </w:rPr>
        <w:t>第三，产出可用于汇报、论文写作和公开展示的研究材料，可能包括网络图、时间线、地图、组织谱系表、关系表、议题流向图和资源渠道图等</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工作步骤及AI的位置</w:t>
      </w:r>
      <w:bookmarkEnd w:id="1"/>
    </w:p>
    <w:p>
      <w:pPr>
        <w:spacing w:before="120" w:after="120" w:line="288" w:lineRule="auto"/>
        <w:ind w:left="0"/>
        <w:jc w:val="left"/>
      </w:pPr>
    </w:p>
    <w:p>
      <w:pPr>
        <w:spacing w:before="120" w:after="120" w:line="288" w:lineRule="auto"/>
        <w:ind w:left="0"/>
        <w:jc w:val="left"/>
      </w:pPr>
      <w:r>
        <w:rPr>
          <w:rFonts w:eastAsia="等线" w:ascii="Arial" w:cs="Arial" w:hAnsi="Arial"/>
          <w:sz w:val="22"/>
        </w:rPr>
        <w:t>项目按照“资料 → 名册 → 关系 →证据 → 模块 → 产出”的逻辑推进</w:t>
      </w:r>
    </w:p>
    <w:p>
      <w:pPr>
        <w:spacing w:before="120" w:after="120" w:line="288" w:lineRule="auto"/>
        <w:ind w:left="0"/>
        <w:jc w:val="left"/>
      </w:pP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jc w:val="left"/>
      </w:pPr>
      <w:r>
        <w:rPr>
          <w:rFonts w:eastAsia="等线" w:ascii="Arial" w:cs="Arial" w:hAnsi="Arial"/>
          <w:sz w:val="22"/>
        </w:rPr>
        <w:t>项目使用AI来提高资料处理效率</w:t>
      </w:r>
    </w:p>
    <w:p>
      <w:pPr>
        <w:spacing w:before="120" w:after="120" w:line="288" w:lineRule="auto"/>
        <w:ind w:left="0"/>
        <w:jc w:val="left"/>
      </w:pPr>
      <w:r>
        <w:rPr>
          <w:rFonts w:eastAsia="等线" w:ascii="Arial" w:cs="Arial" w:hAnsi="Arial"/>
          <w:sz w:val="22"/>
        </w:rPr>
        <w:t>AI的位置在第2–4步：帮助从不同资料中抽取候选实体、候选关系、日期、地点、议题等标签，并记录来源</w:t>
      </w:r>
    </w:p>
    <w:p>
      <w:pPr>
        <w:spacing w:before="120" w:after="120" w:line="288" w:lineRule="auto"/>
        <w:ind w:left="0"/>
        <w:jc w:val="left"/>
      </w:pPr>
    </w:p>
    <w:p>
      <w:pPr>
        <w:spacing w:before="120" w:after="120" w:line="288" w:lineRule="auto"/>
        <w:ind w:left="0"/>
        <w:jc w:val="left"/>
      </w:pPr>
      <w:r>
        <w:rPr>
          <w:rFonts w:eastAsia="等线" w:ascii="Arial" w:cs="Arial" w:hAnsi="Arial"/>
          <w:sz w:val="22"/>
        </w:rPr>
        <w:t>具体可能包括：</w:t>
      </w:r>
    </w:p>
    <w:p>
      <w:pPr>
        <w:spacing w:before="120" w:after="120" w:line="288" w:lineRule="auto"/>
        <w:ind w:left="0"/>
        <w:jc w:val="left"/>
      </w:pPr>
      <w:r>
        <w:rPr>
          <w:rFonts w:eastAsia="等线" w:ascii="Arial" w:cs="Arial" w:hAnsi="Arial"/>
          <w:sz w:val="22"/>
        </w:rPr>
        <w:t>从不同类型资料中识别组织名、人名、机构名、地名和事件名</w:t>
      </w:r>
    </w:p>
    <w:p>
      <w:pPr>
        <w:spacing w:before="120" w:after="120" w:line="288" w:lineRule="auto"/>
        <w:ind w:left="0"/>
        <w:jc w:val="left"/>
      </w:pPr>
      <w:r>
        <w:rPr>
          <w:rFonts w:eastAsia="等线" w:ascii="Arial" w:cs="Arial" w:hAnsi="Arial"/>
          <w:sz w:val="22"/>
        </w:rPr>
        <w:t>发现同一组织的旧称、简称、英文名和日文名</w:t>
      </w:r>
    </w:p>
    <w:p>
      <w:pPr>
        <w:spacing w:before="120" w:after="120" w:line="288" w:lineRule="auto"/>
        <w:ind w:left="0"/>
        <w:jc w:val="left"/>
      </w:pPr>
      <w:r>
        <w:rPr>
          <w:rFonts w:eastAsia="等线" w:ascii="Arial" w:cs="Arial" w:hAnsi="Arial"/>
          <w:sz w:val="22"/>
        </w:rPr>
        <w:t>抽取候选关系，例如共同联署、共同诉讼、共办活动、补助关系、媒体引述等</w:t>
      </w:r>
    </w:p>
    <w:p>
      <w:pPr>
        <w:spacing w:before="120" w:after="120" w:line="288" w:lineRule="auto"/>
        <w:ind w:left="0"/>
        <w:jc w:val="left"/>
      </w:pPr>
      <w:r>
        <w:rPr>
          <w:rFonts w:eastAsia="等线" w:ascii="Arial" w:cs="Arial" w:hAnsi="Arial"/>
          <w:sz w:val="22"/>
        </w:rPr>
        <w:t>识别日期、地点、议题和行动场域</w:t>
      </w:r>
    </w:p>
    <w:p>
      <w:pPr>
        <w:spacing w:before="120" w:after="120" w:line="288" w:lineRule="auto"/>
        <w:ind w:left="0"/>
        <w:jc w:val="left"/>
      </w:pPr>
      <w:r>
        <w:rPr>
          <w:rFonts w:eastAsia="等线" w:ascii="Arial" w:cs="Arial" w:hAnsi="Arial"/>
          <w:sz w:val="22"/>
        </w:rPr>
        <w:t>为每条候选信息保留资料来源、原文片段和置信度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在第4步和第5步之间，需要进行人工抽查复核</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研究对象与边界</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本项目研究对象为 1972 年冲绳复归以来，与冲绳基地问题、环境保护、人权、地方自治、和平运动、劳工与社会议题相关的民间组织网络。为避免把早期尚未法人化的组织排除在外，不以狭义的“NPO 法人”作为唯一研究对象，而采用更宽口径的表述：冲绳民间组织，市民团体，社会运动组织等。1998 年以后，再将 NPO 法人作为其中一种正式法律身份单独标注。</w:t>
      </w:r>
      <w:r>
        <w:rPr>
          <w:rFonts w:eastAsia="等线" w:ascii="Arial" w:cs="Arial" w:hAnsi="Arial"/>
          <w:b w:val="true"/>
          <w:sz w:val="22"/>
        </w:rPr>
        <w:t>日本 NPO 法于 1998 年成立并于同年 12 月 1 日施行</w:t>
      </w:r>
      <w:r>
        <w:rPr>
          <w:rFonts w:eastAsia="等线" w:ascii="Arial" w:cs="Arial" w:hAnsi="Arial"/>
          <w:sz w:val="22"/>
        </w:rPr>
        <w:t>，因此 1998 年前后应作为组织法律身份和公开资料可得性的重要分界</w:t>
      </w:r>
    </w:p>
    <w:p>
      <w:pPr>
        <w:spacing w:before="120" w:after="120" w:line="288" w:lineRule="auto"/>
        <w:ind w:left="0"/>
        <w:jc w:val="left"/>
      </w:pPr>
    </w:p>
    <w:p>
      <w:pPr>
        <w:spacing w:before="120" w:after="120" w:line="288" w:lineRule="auto"/>
        <w:ind w:left="0"/>
        <w:jc w:val="left"/>
      </w:pPr>
      <w:r>
        <w:rPr>
          <w:rFonts w:eastAsia="等线" w:ascii="Arial" w:cs="Arial" w:hAnsi="Arial"/>
          <w:sz w:val="22"/>
        </w:rPr>
        <w:t>具体来说，纳入范围大概应包括：</w:t>
      </w:r>
    </w:p>
    <w:p>
      <w:pPr>
        <w:numPr>
          <w:numId w:val="1"/>
        </w:numPr>
        <w:spacing w:before="120" w:after="120" w:line="288" w:lineRule="auto"/>
        <w:ind w:left="0"/>
        <w:jc w:val="left"/>
      </w:pPr>
      <w:r>
        <w:rPr>
          <w:rFonts w:eastAsia="等线" w:ascii="Arial" w:cs="Arial" w:hAnsi="Arial"/>
          <w:sz w:val="22"/>
        </w:rPr>
        <w:t xml:space="preserve"> 市民团体</w:t>
      </w:r>
    </w:p>
    <w:p>
      <w:pPr>
        <w:numPr>
          <w:numId w:val="2"/>
        </w:numPr>
        <w:spacing w:before="120" w:after="120" w:line="288" w:lineRule="auto"/>
        <w:ind w:left="0"/>
        <w:jc w:val="left"/>
      </w:pPr>
      <w:r>
        <w:rPr>
          <w:rFonts w:eastAsia="等线" w:ascii="Arial" w:cs="Arial" w:hAnsi="Arial"/>
          <w:sz w:val="22"/>
        </w:rPr>
        <w:t xml:space="preserve"> 反基地组织</w:t>
      </w:r>
    </w:p>
    <w:p>
      <w:pPr>
        <w:numPr>
          <w:numId w:val="3"/>
        </w:numPr>
        <w:spacing w:before="120" w:after="120" w:line="288" w:lineRule="auto"/>
        <w:ind w:left="0"/>
        <w:jc w:val="left"/>
      </w:pPr>
      <w:r>
        <w:rPr>
          <w:rFonts w:eastAsia="等线" w:ascii="Arial" w:cs="Arial" w:hAnsi="Arial"/>
          <w:sz w:val="22"/>
        </w:rPr>
        <w:t xml:space="preserve"> 环保组织</w:t>
      </w:r>
    </w:p>
    <w:p>
      <w:pPr>
        <w:numPr>
          <w:numId w:val="4"/>
        </w:numPr>
        <w:spacing w:before="120" w:after="120" w:line="288" w:lineRule="auto"/>
        <w:ind w:left="0"/>
        <w:jc w:val="left"/>
      </w:pPr>
      <w:r>
        <w:rPr>
          <w:rFonts w:eastAsia="等线" w:ascii="Arial" w:cs="Arial" w:hAnsi="Arial"/>
          <w:sz w:val="22"/>
        </w:rPr>
        <w:t xml:space="preserve"> 人权组织</w:t>
      </w:r>
    </w:p>
    <w:p>
      <w:pPr>
        <w:numPr>
          <w:numId w:val="5"/>
        </w:numPr>
        <w:spacing w:before="120" w:after="120" w:line="288" w:lineRule="auto"/>
        <w:ind w:left="0"/>
        <w:jc w:val="left"/>
      </w:pPr>
      <w:r>
        <w:rPr>
          <w:rFonts w:eastAsia="等线" w:ascii="Arial" w:cs="Arial" w:hAnsi="Arial"/>
          <w:sz w:val="22"/>
        </w:rPr>
        <w:t xml:space="preserve"> 劳工、自治、和平、女性、教育、社区相关组织</w:t>
      </w:r>
    </w:p>
    <w:p>
      <w:pPr>
        <w:numPr>
          <w:numId w:val="6"/>
        </w:numPr>
        <w:spacing w:before="120" w:after="120" w:line="288" w:lineRule="auto"/>
        <w:ind w:left="0"/>
        <w:jc w:val="left"/>
      </w:pPr>
      <w:r>
        <w:rPr>
          <w:rFonts w:eastAsia="等线" w:ascii="Arial" w:cs="Arial" w:hAnsi="Arial"/>
          <w:sz w:val="22"/>
        </w:rPr>
        <w:t xml:space="preserve"> NPO 法人</w:t>
      </w:r>
    </w:p>
    <w:p>
      <w:pPr>
        <w:numPr>
          <w:numId w:val="7"/>
        </w:numPr>
        <w:spacing w:before="120" w:after="120" w:line="288" w:lineRule="auto"/>
        <w:ind w:left="0"/>
        <w:jc w:val="left"/>
      </w:pPr>
      <w:r>
        <w:rPr>
          <w:rFonts w:eastAsia="等线" w:ascii="Arial" w:cs="Arial" w:hAnsi="Arial"/>
          <w:sz w:val="22"/>
        </w:rPr>
        <w:t xml:space="preserve"> 一般社团、公益法人、任意团体</w:t>
      </w:r>
    </w:p>
    <w:p>
      <w:pPr>
        <w:numPr>
          <w:numId w:val="8"/>
        </w:numPr>
        <w:spacing w:before="120" w:after="120" w:line="288" w:lineRule="auto"/>
        <w:ind w:left="0"/>
        <w:jc w:val="left"/>
      </w:pPr>
      <w:r>
        <w:rPr>
          <w:rFonts w:eastAsia="等线" w:ascii="Arial" w:cs="Arial" w:hAnsi="Arial"/>
          <w:sz w:val="22"/>
        </w:rPr>
        <w:t xml:space="preserve"> 围绕特定事件或议题形成的実行委員会、連絡会、ネットワーク、協議会</w:t>
      </w:r>
    </w:p>
    <w:p>
      <w:pPr>
        <w:spacing w:before="120" w:after="120" w:line="288" w:lineRule="auto"/>
        <w:ind w:left="0"/>
        <w:jc w:val="left"/>
      </w:pPr>
      <w:r>
        <w:rPr>
          <w:rFonts w:eastAsia="等线" w:ascii="Arial" w:cs="Arial" w:hAnsi="Arial"/>
          <w:sz w:val="22"/>
        </w:rPr>
        <w:t>只要某一组织在可查资料中参与了冲绳相关公共议题，即可作为候选主体纳入 actor registry；具有 NPO 法人格且与研究议题相关的组织，应优先纳入并单独标注其法律身份</w:t>
      </w:r>
    </w:p>
    <w:p>
      <w:pPr>
        <w:spacing w:before="120" w:after="120" w:line="288" w:lineRule="auto"/>
        <w:ind w:left="0"/>
        <w:jc w:val="left"/>
      </w:pPr>
    </w:p>
    <w:p>
      <w:pPr>
        <w:spacing w:before="120" w:after="120" w:line="288" w:lineRule="auto"/>
        <w:ind w:left="0"/>
        <w:jc w:val="left"/>
      </w:pPr>
      <w:r>
        <w:rPr>
          <w:rFonts w:eastAsia="等线" w:ascii="Arial" w:cs="Arial" w:hAnsi="Arial"/>
          <w:sz w:val="22"/>
        </w:rPr>
        <w:t>研究时期采用五段式分期：</w:t>
      </w:r>
    </w:p>
    <w:p>
      <w:pPr>
        <w:spacing w:before="120" w:after="120" w:line="288" w:lineRule="auto"/>
        <w:ind w:left="0"/>
      </w:pPr>
      <w:r>
        <w:object>
          <v:shape id="_x0000_i1026" style="width:414pt;height:109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1972–1994：复归后民间组织与社会运动的再组织期</w:t>
      </w:r>
      <w:r>
        <w:rPr>
          <w:rFonts w:eastAsia="等线" w:ascii="Arial" w:cs="Arial" w:hAnsi="Arial"/>
          <w:sz w:val="22"/>
        </w:rPr>
        <w:br/>
      </w:r>
      <w:r>
        <w:rPr>
          <w:rFonts w:eastAsia="等线" w:ascii="Arial" w:cs="Arial" w:hAnsi="Arial"/>
          <w:sz w:val="22"/>
        </w:rPr>
        <w:t>1972 年 5 月 15 日，冲绳结束 27 年美国统治并复归日本；但复归并未消除基地、土地、雇用、自治和身份认同等结构性问题。冲绳县公文书馆关于复归的说明也指出，复归在制度上开启新生冲绳县，同时米军基地、基地雇用、通货切换和社会不安等问题继续存在。因此，这一时期适合观察复归后民间组织如何在日本国家制度、地方自治和基地问题之间重新定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1995–2003：1995 冲击后的反基地动员与制度回应期</w:t>
      </w:r>
      <w:r>
        <w:rPr>
          <w:rFonts w:eastAsia="等线" w:ascii="Arial" w:cs="Arial" w:hAnsi="Arial"/>
          <w:sz w:val="22"/>
        </w:rPr>
        <w:br/>
      </w:r>
      <w:r>
        <w:rPr>
          <w:rFonts w:eastAsia="等线" w:ascii="Arial" w:cs="Arial" w:hAnsi="Arial"/>
          <w:sz w:val="22"/>
        </w:rPr>
        <w:t>1995 年 9 月发生美国军人对小学生少女的暴行事件，冲绳县关于边野古问题的官方年表将此列为 1995 年的重要节点；同年 11 月设立“冲绳相关特别行动委员会”（SACO）。1996 年，普天间飞行场全面返还问题、SACO 中间报告、日美地位协定与基地整理缩小相关县民投票等事件连续出现。这一时期适合研究反基地运动如何从单一抗议扩展到地位协定、普天间返还、住民投票和基地重组等制度议题</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2004–2012：事故风险、普天间问题与环境议题耦合期</w:t>
      </w:r>
    </w:p>
    <w:p>
      <w:pPr>
        <w:spacing w:before="120" w:after="120" w:line="288" w:lineRule="auto"/>
        <w:ind w:left="0"/>
        <w:jc w:val="left"/>
      </w:pPr>
      <w:r>
        <w:rPr>
          <w:rFonts w:eastAsia="等线" w:ascii="Arial" w:cs="Arial" w:hAnsi="Arial"/>
          <w:sz w:val="22"/>
        </w:rPr>
        <w:t>2004 年 8 月 13 日，普天间基地所属美国海兵队 CH-53D 直升机在冲绳国际大学校内坠落并起火，冲绳县资料明确记录事故发生后县方要求查明原因、停止飞行、推进普天间早期返还，并要求重新审视日美地位协定。该事件把基地问题进一步转化为城市安全、事故风险、大学/居民生活空间、行政责任和普天间返还问题</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2013–2019：边野古埋立承认、县政对抗与民意显性化期</w:t>
      </w:r>
    </w:p>
    <w:p>
      <w:pPr>
        <w:spacing w:before="120" w:after="120" w:line="288" w:lineRule="auto"/>
        <w:ind w:left="0"/>
        <w:jc w:val="left"/>
      </w:pPr>
      <w:r>
        <w:rPr>
          <w:rFonts w:eastAsia="等线" w:ascii="Arial" w:cs="Arial" w:hAnsi="Arial"/>
          <w:sz w:val="22"/>
        </w:rPr>
        <w:t>2013 年 12 月 27 日，普天间飞行场代替设施建设相关的公有水面埋立申请获得冲绳县知事承认；此后边野古问题成为组织联盟、行政对抗、诉讼、环保倡议和国际发声的重要枢纽。2019 年 2 月 24 日，围绕边野古埋立举行县民投票，冲绳县资料显示投票率为 52.48%，反对票为 434,273 票，占投票总数 71.7%。因此，2013–2019 年适合集中观察边野古如何成为组织网络重组和议题交叉的核心节点</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2020–现在：国际倡议、环境正义与跨国连接强化期</w:t>
      </w:r>
    </w:p>
    <w:p>
      <w:pPr>
        <w:spacing w:before="120" w:after="120" w:line="288" w:lineRule="auto"/>
        <w:ind w:left="0"/>
        <w:jc w:val="left"/>
      </w:pPr>
      <w:r>
        <w:rPr>
          <w:rFonts w:eastAsia="等线" w:ascii="Arial" w:cs="Arial" w:hAnsi="Arial"/>
          <w:sz w:val="22"/>
        </w:rPr>
        <w:t>2020 年以后，边野古、儒艮保护、环境影响、人权、自治和国际倡议之间的连接更加明显。例如，2020 年由 Okinawa Environmental Justice Project 呼吁、71 个冲绳/日本及海外团体参与的请求书被提交给美国海洋哺乳类委员会，议题同时涉及边野古基地建设、儒艮保护和跨国环境倡议。这一时期适合研究冲绳民间组织如何把地方议题带入美国机构、联合国机制、国际 NGO 和跨国环保网络</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4. </w:t>
      </w:r>
      <w:r>
        <w:rPr>
          <w:rFonts w:eastAsia="等线" w:ascii="Arial" w:cs="Arial" w:hAnsi="Arial"/>
          <w:b w:val="true"/>
          <w:sz w:val="36"/>
        </w:rPr>
        <w:t>人工资料查找范围拟规划</w:t>
      </w:r>
      <w:bookmarkEnd w:id="3"/>
    </w:p>
    <w:p>
      <w:pPr>
        <w:spacing w:before="120" w:after="120" w:line="288" w:lineRule="auto"/>
        <w:ind w:left="0"/>
        <w:jc w:val="left"/>
      </w:pPr>
    </w:p>
    <w:p>
      <w:pPr>
        <w:spacing w:before="120" w:after="120" w:line="288" w:lineRule="auto"/>
        <w:ind w:left="0"/>
        <w:jc w:val="left"/>
      </w:pPr>
      <w:r>
        <w:rPr>
          <w:rFonts w:eastAsia="等线" w:ascii="Arial" w:cs="Arial" w:hAnsi="Arial"/>
          <w:sz w:val="22"/>
        </w:rPr>
        <w:t>已收集，可优先核查的公开资料入口：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20"/>
        <w:gridCol w:w="3075"/>
        <w:gridCol w:w="3270"/>
      </w:tblGrid>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资料入口</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用途</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URL</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内阁府 NPO 法人ポータルサイト</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NPO 法人信息、部分提交资料和公开信息入口</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https://www.npo-homepage.go.jp/npoportal/</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冲绳县 NPO 页面 / NPO プラザ</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冲绳县 NPO 相关手续、资料、链接和协作信息入口</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https://www.pref.okinawa.jp/kurashikankyo/katsudo/1004889/1004890.html</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冲绳县 NPO 法人认定/特例认定页面</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NPO 相关手续、事業報告書样式和运作文件入口</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https://www.pref.okinawa.jp/kurashikankyo/katsudo/1004889/1018782/1004910.html</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冲绳县公文书馆资料搜索</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所藏公文书目录、照片、影像、空中照片、公报、行政记录等</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https://www.archives.pref.okinawa.jp/search_materials</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冲绳县公文书馆：琉球政府文书</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琉球政府文书数字档案和相关资料介绍</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https://www.archives.pref.okinawa.jp/ryukyu_government</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冲绳县立图书馆馆内数据库</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馆内可用报纸数据库；沖縄タイムス 1997 年以后，琉球新報 1998 年 1 月以后</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https://www.library.pref.okinawa.jp/search/cat1/cat6/index.html</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官方法人资料：用于建立 1998 年以后正式组织名册</w:t>
      </w:r>
    </w:p>
    <w:p>
      <w:pPr>
        <w:spacing w:before="120" w:after="120" w:line="288" w:lineRule="auto"/>
        <w:ind w:left="0"/>
        <w:jc w:val="left"/>
      </w:pPr>
      <w:r>
        <w:rPr>
          <w:rFonts w:eastAsia="等线" w:ascii="Arial" w:cs="Arial" w:hAnsi="Arial"/>
          <w:sz w:val="22"/>
        </w:rPr>
        <w:t>主要来源：</w:t>
      </w:r>
    </w:p>
    <w:p>
      <w:pPr>
        <w:numPr>
          <w:numId w:val="9"/>
        </w:numPr>
        <w:spacing w:before="120" w:after="120" w:line="288" w:lineRule="auto"/>
        <w:ind w:left="0"/>
        <w:jc w:val="left"/>
      </w:pPr>
      <w:r>
        <w:rPr>
          <w:rFonts w:eastAsia="等线" w:ascii="Arial" w:cs="Arial" w:hAnsi="Arial"/>
          <w:sz w:val="22"/>
        </w:rPr>
        <w:t xml:space="preserve"> 内阁府 NPO 法人ポータルサイト</w:t>
      </w:r>
    </w:p>
    <w:p>
      <w:pPr>
        <w:numPr>
          <w:numId w:val="10"/>
        </w:numPr>
        <w:spacing w:before="120" w:after="120" w:line="288" w:lineRule="auto"/>
        <w:ind w:left="0"/>
        <w:jc w:val="left"/>
      </w:pPr>
      <w:r>
        <w:rPr>
          <w:rFonts w:eastAsia="等线" w:ascii="Arial" w:cs="Arial" w:hAnsi="Arial"/>
          <w:sz w:val="22"/>
        </w:rPr>
        <w:t xml:space="preserve"> 冲绳县 NPO プラザ</w:t>
      </w:r>
    </w:p>
    <w:p>
      <w:pPr>
        <w:numPr>
          <w:numId w:val="11"/>
        </w:numPr>
        <w:spacing w:before="120" w:after="120" w:line="288" w:lineRule="auto"/>
        <w:ind w:left="0"/>
        <w:jc w:val="left"/>
      </w:pPr>
      <w:r>
        <w:rPr>
          <w:rFonts w:eastAsia="等线" w:ascii="Arial" w:cs="Arial" w:hAnsi="Arial"/>
          <w:sz w:val="22"/>
        </w:rPr>
        <w:t xml:space="preserve"> 冲绳县 NPO 法人设立、解散、定款变更、事業報告書等公开资料</w:t>
      </w:r>
    </w:p>
    <w:p>
      <w:pPr>
        <w:spacing w:before="120" w:after="120" w:line="288" w:lineRule="auto"/>
        <w:ind w:left="0"/>
        <w:jc w:val="left"/>
      </w:pPr>
    </w:p>
    <w:p>
      <w:pPr>
        <w:spacing w:before="120" w:after="120" w:line="288" w:lineRule="auto"/>
        <w:ind w:left="0"/>
        <w:jc w:val="left"/>
      </w:pPr>
      <w:r>
        <w:rPr>
          <w:rFonts w:eastAsia="等线" w:ascii="Arial" w:cs="Arial" w:hAnsi="Arial"/>
          <w:sz w:val="22"/>
        </w:rPr>
        <w:t>行政协作资料：用于研究“资源渠道”和“抗争—协作双重位置”</w:t>
      </w:r>
    </w:p>
    <w:p>
      <w:pPr>
        <w:spacing w:before="120" w:after="120" w:line="288" w:lineRule="auto"/>
        <w:ind w:left="0"/>
        <w:jc w:val="left"/>
      </w:pPr>
      <w:r>
        <w:rPr>
          <w:rFonts w:eastAsia="等线" w:ascii="Arial" w:cs="Arial" w:hAnsi="Arial"/>
          <w:sz w:val="22"/>
        </w:rPr>
        <w:t>主要来源：</w:t>
      </w:r>
    </w:p>
    <w:p>
      <w:pPr>
        <w:numPr>
          <w:numId w:val="12"/>
        </w:numPr>
        <w:spacing w:before="120" w:after="120" w:line="288" w:lineRule="auto"/>
        <w:ind w:left="0"/>
        <w:jc w:val="left"/>
      </w:pPr>
      <w:r>
        <w:rPr>
          <w:rFonts w:eastAsia="等线" w:ascii="Arial" w:cs="Arial" w:hAnsi="Arial"/>
          <w:sz w:val="22"/>
        </w:rPr>
        <w:t xml:space="preserve"> 冲绳县 “NPO との協働実績”</w:t>
      </w:r>
    </w:p>
    <w:p>
      <w:pPr>
        <w:numPr>
          <w:numId w:val="13"/>
        </w:numPr>
        <w:spacing w:before="120" w:after="120" w:line="288" w:lineRule="auto"/>
        <w:ind w:left="0"/>
        <w:jc w:val="left"/>
      </w:pPr>
      <w:r>
        <w:rPr>
          <w:rFonts w:eastAsia="等线" w:ascii="Arial" w:cs="Arial" w:hAnsi="Arial"/>
          <w:sz w:val="22"/>
        </w:rPr>
        <w:t xml:space="preserve"> 县、市町村协作项目资料</w:t>
      </w:r>
    </w:p>
    <w:p>
      <w:pPr>
        <w:numPr>
          <w:numId w:val="14"/>
        </w:numPr>
        <w:spacing w:before="120" w:after="120" w:line="288" w:lineRule="auto"/>
        <w:ind w:left="0"/>
        <w:jc w:val="left"/>
      </w:pPr>
      <w:r>
        <w:rPr>
          <w:rFonts w:eastAsia="等线" w:ascii="Arial" w:cs="Arial" w:hAnsi="Arial"/>
          <w:sz w:val="22"/>
        </w:rPr>
        <w:t xml:space="preserve"> 补助金、公募、委托事业资料</w:t>
      </w:r>
    </w:p>
    <w:p>
      <w:pPr>
        <w:numPr>
          <w:numId w:val="15"/>
        </w:numPr>
        <w:spacing w:before="120" w:after="120" w:line="288" w:lineRule="auto"/>
        <w:ind w:left="0"/>
        <w:jc w:val="left"/>
      </w:pPr>
      <w:r>
        <w:rPr>
          <w:rFonts w:eastAsia="等线" w:ascii="Arial" w:cs="Arial" w:hAnsi="Arial"/>
          <w:sz w:val="22"/>
        </w:rPr>
        <w:t xml:space="preserve"> 部局年度报告</w:t>
      </w:r>
    </w:p>
    <w:p>
      <w:pPr>
        <w:numPr>
          <w:numId w:val="16"/>
        </w:numPr>
        <w:spacing w:before="120" w:after="120" w:line="288" w:lineRule="auto"/>
        <w:ind w:left="0"/>
        <w:jc w:val="left"/>
      </w:pPr>
      <w:r>
        <w:rPr>
          <w:rFonts w:eastAsia="等线" w:ascii="Arial" w:cs="Arial" w:hAnsi="Arial"/>
          <w:sz w:val="22"/>
        </w:rPr>
        <w:t xml:space="preserve"> 地方议会资料</w:t>
      </w:r>
    </w:p>
    <w:p>
      <w:pPr>
        <w:spacing w:before="120" w:after="120" w:line="288" w:lineRule="auto"/>
        <w:ind w:left="0"/>
        <w:jc w:val="left"/>
      </w:pPr>
    </w:p>
    <w:p>
      <w:pPr>
        <w:spacing w:before="120" w:after="120" w:line="288" w:lineRule="auto"/>
        <w:ind w:left="0"/>
        <w:jc w:val="left"/>
      </w:pPr>
      <w:r>
        <w:rPr>
          <w:rFonts w:eastAsia="等线" w:ascii="Arial" w:cs="Arial" w:hAnsi="Arial"/>
          <w:sz w:val="22"/>
        </w:rPr>
        <w:t>档案资料：用于补 1972–1990s 前半段</w:t>
      </w:r>
    </w:p>
    <w:p>
      <w:pPr>
        <w:spacing w:before="120" w:after="120" w:line="288" w:lineRule="auto"/>
        <w:ind w:left="0"/>
        <w:jc w:val="left"/>
      </w:pPr>
      <w:r>
        <w:rPr>
          <w:rFonts w:eastAsia="等线" w:ascii="Arial" w:cs="Arial" w:hAnsi="Arial"/>
          <w:sz w:val="22"/>
        </w:rPr>
        <w:t>主要来源：</w:t>
      </w:r>
    </w:p>
    <w:p>
      <w:pPr>
        <w:numPr>
          <w:numId w:val="17"/>
        </w:numPr>
        <w:spacing w:before="120" w:after="120" w:line="288" w:lineRule="auto"/>
        <w:ind w:left="0"/>
        <w:jc w:val="left"/>
      </w:pPr>
      <w:r>
        <w:rPr>
          <w:rFonts w:eastAsia="等线" w:ascii="Arial" w:cs="Arial" w:hAnsi="Arial"/>
          <w:sz w:val="22"/>
        </w:rPr>
        <w:t xml:space="preserve"> 冲绳县公文书馆</w:t>
      </w:r>
    </w:p>
    <w:p>
      <w:pPr>
        <w:numPr>
          <w:numId w:val="18"/>
        </w:numPr>
        <w:spacing w:before="120" w:after="120" w:line="288" w:lineRule="auto"/>
        <w:ind w:left="0"/>
        <w:jc w:val="left"/>
      </w:pPr>
      <w:r>
        <w:rPr>
          <w:rFonts w:eastAsia="等线" w:ascii="Arial" w:cs="Arial" w:hAnsi="Arial"/>
          <w:sz w:val="22"/>
        </w:rPr>
        <w:t xml:space="preserve"> 琉球政府文书</w:t>
      </w:r>
    </w:p>
    <w:p>
      <w:pPr>
        <w:numPr>
          <w:numId w:val="19"/>
        </w:numPr>
        <w:spacing w:before="120" w:after="120" w:line="288" w:lineRule="auto"/>
        <w:ind w:left="0"/>
        <w:jc w:val="left"/>
      </w:pPr>
      <w:r>
        <w:rPr>
          <w:rFonts w:eastAsia="等线" w:ascii="Arial" w:cs="Arial" w:hAnsi="Arial"/>
          <w:sz w:val="22"/>
        </w:rPr>
        <w:t xml:space="preserve"> 冲绳县文书</w:t>
      </w:r>
    </w:p>
    <w:p>
      <w:pPr>
        <w:numPr>
          <w:numId w:val="20"/>
        </w:numPr>
        <w:spacing w:before="120" w:after="120" w:line="288" w:lineRule="auto"/>
        <w:ind w:left="0"/>
        <w:jc w:val="left"/>
      </w:pPr>
      <w:r>
        <w:rPr>
          <w:rFonts w:eastAsia="等线" w:ascii="Arial" w:cs="Arial" w:hAnsi="Arial"/>
          <w:sz w:val="22"/>
        </w:rPr>
        <w:t xml:space="preserve"> 美国收集资料</w:t>
      </w:r>
    </w:p>
    <w:p>
      <w:pPr>
        <w:numPr>
          <w:numId w:val="21"/>
        </w:numPr>
        <w:spacing w:before="120" w:after="120" w:line="288" w:lineRule="auto"/>
        <w:ind w:left="0"/>
        <w:jc w:val="left"/>
      </w:pPr>
      <w:r>
        <w:rPr>
          <w:rFonts w:eastAsia="等线" w:ascii="Arial" w:cs="Arial" w:hAnsi="Arial"/>
          <w:sz w:val="22"/>
        </w:rPr>
        <w:t xml:space="preserve"> 冲绳关系资料</w:t>
      </w:r>
    </w:p>
    <w:p>
      <w:pPr>
        <w:numPr>
          <w:numId w:val="22"/>
        </w:numPr>
        <w:spacing w:before="120" w:after="120" w:line="288" w:lineRule="auto"/>
        <w:ind w:left="0"/>
        <w:jc w:val="left"/>
      </w:pPr>
      <w:r>
        <w:rPr>
          <w:rFonts w:eastAsia="等线" w:ascii="Arial" w:cs="Arial" w:hAnsi="Arial"/>
          <w:sz w:val="22"/>
        </w:rPr>
        <w:t xml:space="preserve"> 图片、地图、会议记录、行政文件、请求书、议会资料</w:t>
      </w:r>
    </w:p>
    <w:p>
      <w:pPr>
        <w:spacing w:before="120" w:after="120" w:line="288" w:lineRule="auto"/>
        <w:ind w:left="0"/>
        <w:jc w:val="left"/>
      </w:pPr>
    </w:p>
    <w:p>
      <w:pPr>
        <w:spacing w:before="120" w:after="120" w:line="288" w:lineRule="auto"/>
        <w:ind w:left="0"/>
        <w:jc w:val="left"/>
      </w:pPr>
      <w:r>
        <w:rPr>
          <w:rFonts w:eastAsia="等线" w:ascii="Arial" w:cs="Arial" w:hAnsi="Arial"/>
          <w:sz w:val="22"/>
        </w:rPr>
        <w:t>地方报刊资料：同上</w:t>
      </w:r>
    </w:p>
    <w:p>
      <w:pPr>
        <w:spacing w:before="120" w:after="120" w:line="288" w:lineRule="auto"/>
        <w:ind w:left="0"/>
        <w:jc w:val="left"/>
      </w:pPr>
      <w:r>
        <w:rPr>
          <w:rFonts w:eastAsia="等线" w:ascii="Arial" w:cs="Arial" w:hAnsi="Arial"/>
          <w:sz w:val="22"/>
        </w:rPr>
        <w:t>主要来源：</w:t>
      </w:r>
    </w:p>
    <w:p>
      <w:pPr>
        <w:numPr>
          <w:numId w:val="23"/>
        </w:numPr>
        <w:spacing w:before="120" w:after="120" w:line="288" w:lineRule="auto"/>
        <w:ind w:left="0"/>
        <w:jc w:val="left"/>
      </w:pPr>
      <w:r>
        <w:rPr>
          <w:rFonts w:eastAsia="等线" w:ascii="Arial" w:cs="Arial" w:hAnsi="Arial"/>
          <w:sz w:val="22"/>
        </w:rPr>
        <w:t xml:space="preserve"> 《沖縄タイムス》数据库</w:t>
      </w:r>
    </w:p>
    <w:p>
      <w:pPr>
        <w:numPr>
          <w:numId w:val="24"/>
        </w:numPr>
        <w:spacing w:before="120" w:after="120" w:line="288" w:lineRule="auto"/>
        <w:ind w:left="0"/>
        <w:jc w:val="left"/>
      </w:pPr>
      <w:r>
        <w:rPr>
          <w:rFonts w:eastAsia="等线" w:ascii="Arial" w:cs="Arial" w:hAnsi="Arial"/>
          <w:sz w:val="22"/>
        </w:rPr>
        <w:t xml:space="preserve"> 《琉球新報》数据库</w:t>
      </w:r>
    </w:p>
    <w:p>
      <w:pPr>
        <w:numPr>
          <w:numId w:val="25"/>
        </w:numPr>
        <w:spacing w:before="120" w:after="120" w:line="288" w:lineRule="auto"/>
        <w:ind w:left="0"/>
        <w:jc w:val="left"/>
      </w:pPr>
      <w:r>
        <w:rPr>
          <w:rFonts w:eastAsia="等线" w:ascii="Arial" w:cs="Arial" w:hAnsi="Arial"/>
          <w:sz w:val="22"/>
        </w:rPr>
        <w:t xml:space="preserve"> 全国纸数据库，如朝日、读卖、每日、日经等</w:t>
      </w:r>
    </w:p>
    <w:p>
      <w:pPr>
        <w:numPr>
          <w:numId w:val="26"/>
        </w:numPr>
        <w:spacing w:before="120" w:after="120" w:line="288" w:lineRule="auto"/>
        <w:ind w:left="0"/>
        <w:jc w:val="left"/>
      </w:pPr>
      <w:r>
        <w:rPr>
          <w:rFonts w:eastAsia="等线" w:ascii="Arial" w:cs="Arial" w:hAnsi="Arial"/>
          <w:sz w:val="22"/>
        </w:rPr>
        <w:t xml:space="preserve"> 地方报纸纸本、缩微胶片</w:t>
      </w:r>
    </w:p>
    <w:p>
      <w:pPr>
        <w:numPr>
          <w:numId w:val="27"/>
        </w:numPr>
        <w:spacing w:before="120" w:after="120" w:line="288" w:lineRule="auto"/>
        <w:ind w:left="0"/>
        <w:jc w:val="left"/>
      </w:pPr>
      <w:r>
        <w:rPr>
          <w:rFonts w:eastAsia="等线" w:ascii="Arial" w:cs="Arial" w:hAnsi="Arial"/>
          <w:sz w:val="22"/>
        </w:rPr>
        <w:t xml:space="preserve"> 报刊专题、号外、社论、读者投稿、活动报道</w:t>
      </w:r>
    </w:p>
    <w:p>
      <w:pPr>
        <w:spacing w:before="120" w:after="120" w:line="288" w:lineRule="auto"/>
        <w:ind w:left="0"/>
        <w:jc w:val="left"/>
      </w:pPr>
    </w:p>
    <w:p>
      <w:pPr>
        <w:spacing w:before="120" w:after="120" w:line="288" w:lineRule="auto"/>
        <w:ind w:left="0"/>
        <w:jc w:val="left"/>
      </w:pPr>
      <w:r>
        <w:rPr>
          <w:rFonts w:eastAsia="等线" w:ascii="Arial" w:cs="Arial" w:hAnsi="Arial"/>
          <w:sz w:val="22"/>
        </w:rPr>
        <w:t>冲绳县立图书馆说明，馆内可使用《沖縄タイムス》1997 年以后文章数据库和《琉球新報》1998 年 1 月以后冲绳相关文章数据库，因此 1997/1998 年以后或许可做较系统的数字检索，而 1972–1990s 前半段需要更多依赖纸本、缩微胶片、档案和组织文书</w:t>
      </w:r>
    </w:p>
    <w:p>
      <w:pPr>
        <w:spacing w:before="120" w:after="120" w:line="288" w:lineRule="auto"/>
        <w:ind w:left="0"/>
        <w:jc w:val="left"/>
      </w:pPr>
    </w:p>
    <w:p>
      <w:pPr>
        <w:spacing w:before="120" w:after="120" w:line="288" w:lineRule="auto"/>
        <w:ind w:left="0"/>
        <w:jc w:val="left"/>
      </w:pPr>
      <w:r>
        <w:rPr>
          <w:rFonts w:eastAsia="等线" w:ascii="Arial" w:cs="Arial" w:hAnsi="Arial"/>
          <w:sz w:val="22"/>
        </w:rPr>
        <w:t>组织自有资料：用于捕捉组织自我叙述和议题框架</w:t>
      </w:r>
    </w:p>
    <w:p>
      <w:pPr>
        <w:spacing w:before="120" w:after="120" w:line="288" w:lineRule="auto"/>
        <w:ind w:left="0"/>
        <w:jc w:val="left"/>
      </w:pPr>
      <w:r>
        <w:rPr>
          <w:rFonts w:eastAsia="等线" w:ascii="Arial" w:cs="Arial" w:hAnsi="Arial"/>
          <w:sz w:val="22"/>
        </w:rPr>
        <w:t>主要来源：</w:t>
      </w:r>
    </w:p>
    <w:p>
      <w:pPr>
        <w:numPr>
          <w:numId w:val="28"/>
        </w:numPr>
        <w:spacing w:before="120" w:after="120" w:line="288" w:lineRule="auto"/>
        <w:ind w:left="0"/>
        <w:jc w:val="left"/>
      </w:pPr>
      <w:r>
        <w:rPr>
          <w:rFonts w:eastAsia="等线" w:ascii="Arial" w:cs="Arial" w:hAnsi="Arial"/>
          <w:sz w:val="22"/>
        </w:rPr>
        <w:t xml:space="preserve"> 组织官网</w:t>
      </w:r>
    </w:p>
    <w:p>
      <w:pPr>
        <w:numPr>
          <w:numId w:val="29"/>
        </w:numPr>
        <w:spacing w:before="120" w:after="120" w:line="288" w:lineRule="auto"/>
        <w:ind w:left="0"/>
        <w:jc w:val="left"/>
      </w:pPr>
      <w:r>
        <w:rPr>
          <w:rFonts w:eastAsia="等线" w:ascii="Arial" w:cs="Arial" w:hAnsi="Arial"/>
          <w:sz w:val="22"/>
        </w:rPr>
        <w:t xml:space="preserve"> 会报、通讯、newsletter</w:t>
      </w:r>
    </w:p>
    <w:p>
      <w:pPr>
        <w:numPr>
          <w:numId w:val="30"/>
        </w:numPr>
        <w:spacing w:before="120" w:after="120" w:line="288" w:lineRule="auto"/>
        <w:ind w:left="0"/>
        <w:jc w:val="left"/>
      </w:pPr>
      <w:r>
        <w:rPr>
          <w:rFonts w:eastAsia="等线" w:ascii="Arial" w:cs="Arial" w:hAnsi="Arial"/>
          <w:sz w:val="22"/>
        </w:rPr>
        <w:t xml:space="preserve"> 公开声明</w:t>
      </w:r>
    </w:p>
    <w:p>
      <w:pPr>
        <w:numPr>
          <w:numId w:val="31"/>
        </w:numPr>
        <w:spacing w:before="120" w:after="120" w:line="288" w:lineRule="auto"/>
        <w:ind w:left="0"/>
        <w:jc w:val="left"/>
      </w:pPr>
      <w:r>
        <w:rPr>
          <w:rFonts w:eastAsia="等线" w:ascii="Arial" w:cs="Arial" w:hAnsi="Arial"/>
          <w:sz w:val="22"/>
        </w:rPr>
        <w:t xml:space="preserve"> SNS</w:t>
      </w:r>
    </w:p>
    <w:p>
      <w:pPr>
        <w:numPr>
          <w:numId w:val="32"/>
        </w:numPr>
        <w:spacing w:before="120" w:after="120" w:line="288" w:lineRule="auto"/>
        <w:ind w:left="0"/>
        <w:jc w:val="left"/>
      </w:pPr>
      <w:r>
        <w:rPr>
          <w:rFonts w:eastAsia="等线" w:ascii="Arial" w:cs="Arial" w:hAnsi="Arial"/>
          <w:sz w:val="22"/>
        </w:rPr>
        <w:t xml:space="preserve"> Web Archive</w:t>
      </w:r>
    </w:p>
    <w:p>
      <w:pPr>
        <w:spacing w:before="120" w:after="120" w:line="288" w:lineRule="auto"/>
        <w:ind w:left="0"/>
        <w:jc w:val="left"/>
      </w:pPr>
    </w:p>
    <w:p>
      <w:pPr>
        <w:spacing w:before="120" w:after="120" w:line="288" w:lineRule="auto"/>
        <w:ind w:left="0"/>
        <w:jc w:val="left"/>
      </w:pPr>
      <w:r>
        <w:rPr>
          <w:rFonts w:eastAsia="等线" w:ascii="Arial" w:cs="Arial" w:hAnsi="Arial"/>
          <w:sz w:val="22"/>
        </w:rPr>
        <w:t>法律与国际倡议资料：用于研究行动场域转移</w:t>
      </w:r>
    </w:p>
    <w:p>
      <w:pPr>
        <w:spacing w:before="120" w:after="120" w:line="288" w:lineRule="auto"/>
        <w:ind w:left="0"/>
        <w:jc w:val="left"/>
      </w:pPr>
      <w:r>
        <w:rPr>
          <w:rFonts w:eastAsia="等线" w:ascii="Arial" w:cs="Arial" w:hAnsi="Arial"/>
          <w:sz w:val="22"/>
        </w:rPr>
        <w:t>主要来源：</w:t>
      </w:r>
    </w:p>
    <w:p>
      <w:pPr>
        <w:numPr>
          <w:numId w:val="33"/>
        </w:numPr>
        <w:spacing w:before="120" w:after="120" w:line="288" w:lineRule="auto"/>
        <w:ind w:left="0"/>
        <w:jc w:val="left"/>
      </w:pPr>
      <w:r>
        <w:rPr>
          <w:rFonts w:eastAsia="等线" w:ascii="Arial" w:cs="Arial" w:hAnsi="Arial"/>
          <w:sz w:val="22"/>
        </w:rPr>
        <w:t xml:space="preserve"> 法院文件</w:t>
      </w:r>
    </w:p>
    <w:p>
      <w:pPr>
        <w:numPr>
          <w:numId w:val="34"/>
        </w:numPr>
        <w:spacing w:before="120" w:after="120" w:line="288" w:lineRule="auto"/>
        <w:ind w:left="0"/>
        <w:jc w:val="left"/>
      </w:pPr>
      <w:r>
        <w:rPr>
          <w:rFonts w:eastAsia="等线" w:ascii="Arial" w:cs="Arial" w:hAnsi="Arial"/>
          <w:sz w:val="22"/>
        </w:rPr>
        <w:t xml:space="preserve"> 诉讼资料</w:t>
      </w:r>
    </w:p>
    <w:p>
      <w:pPr>
        <w:numPr>
          <w:numId w:val="35"/>
        </w:numPr>
        <w:spacing w:before="120" w:after="120" w:line="288" w:lineRule="auto"/>
        <w:ind w:left="0"/>
        <w:jc w:val="left"/>
      </w:pPr>
      <w:r>
        <w:rPr>
          <w:rFonts w:eastAsia="等线" w:ascii="Arial" w:cs="Arial" w:hAnsi="Arial"/>
          <w:sz w:val="22"/>
        </w:rPr>
        <w:t xml:space="preserve"> 国际 NGO 声明</w:t>
      </w:r>
    </w:p>
    <w:p>
      <w:pPr>
        <w:numPr>
          <w:numId w:val="36"/>
        </w:numPr>
        <w:spacing w:before="120" w:after="120" w:line="288" w:lineRule="auto"/>
        <w:ind w:left="0"/>
        <w:jc w:val="left"/>
      </w:pPr>
      <w:r>
        <w:rPr>
          <w:rFonts w:eastAsia="等线" w:ascii="Arial" w:cs="Arial" w:hAnsi="Arial"/>
          <w:sz w:val="22"/>
        </w:rPr>
        <w:t xml:space="preserve"> 国际会议记录</w:t>
      </w:r>
    </w:p>
    <w:p>
      <w:pPr>
        <w:spacing w:before="120" w:after="120" w:line="288" w:lineRule="auto"/>
        <w:ind w:left="0"/>
        <w:jc w:val="left"/>
      </w:pPr>
    </w:p>
    <w:p>
      <w:pPr>
        <w:spacing w:before="120" w:after="120" w:line="288" w:lineRule="auto"/>
        <w:ind w:left="0"/>
        <w:jc w:val="left"/>
      </w:pPr>
      <w:r>
        <w:rPr>
          <w:rFonts w:eastAsia="等线" w:ascii="Arial" w:cs="Arial" w:hAnsi="Arial"/>
          <w:sz w:val="22"/>
        </w:rPr>
        <w:t>访谈与田野资料：用于补确定的研究方向中，公开资料无法覆盖的部分</w:t>
      </w:r>
    </w:p>
    <w:p>
      <w:pPr>
        <w:spacing w:before="120" w:after="120" w:line="288" w:lineRule="auto"/>
        <w:ind w:left="0"/>
        <w:jc w:val="left"/>
      </w:pPr>
      <w:r>
        <w:rPr>
          <w:rFonts w:eastAsia="等线" w:ascii="Arial" w:cs="Arial" w:hAnsi="Arial"/>
          <w:sz w:val="22"/>
        </w:rPr>
        <w:t>访谈可能用于补充：</w:t>
      </w:r>
    </w:p>
    <w:p>
      <w:pPr>
        <w:numPr>
          <w:numId w:val="37"/>
        </w:numPr>
        <w:spacing w:before="120" w:after="120" w:line="288" w:lineRule="auto"/>
        <w:ind w:left="0"/>
        <w:jc w:val="left"/>
      </w:pPr>
      <w:r>
        <w:rPr>
          <w:rFonts w:eastAsia="等线" w:ascii="Arial" w:cs="Arial" w:hAnsi="Arial"/>
          <w:sz w:val="22"/>
        </w:rPr>
        <w:t xml:space="preserve"> 组织改名、分裂、合并、继承关系</w:t>
      </w:r>
    </w:p>
    <w:p>
      <w:pPr>
        <w:numPr>
          <w:numId w:val="38"/>
        </w:numPr>
        <w:spacing w:before="120" w:after="120" w:line="288" w:lineRule="auto"/>
        <w:ind w:left="0"/>
        <w:jc w:val="left"/>
      </w:pPr>
      <w:r>
        <w:rPr>
          <w:rFonts w:eastAsia="等线" w:ascii="Arial" w:cs="Arial" w:hAnsi="Arial"/>
          <w:sz w:val="22"/>
        </w:rPr>
        <w:t xml:space="preserve"> 组织内部角色分工</w:t>
      </w:r>
    </w:p>
    <w:p>
      <w:pPr>
        <w:numPr>
          <w:numId w:val="39"/>
        </w:numPr>
        <w:spacing w:before="120" w:after="120" w:line="288" w:lineRule="auto"/>
        <w:ind w:left="0"/>
        <w:jc w:val="left"/>
      </w:pPr>
      <w:r>
        <w:rPr>
          <w:rFonts w:eastAsia="等线" w:ascii="Arial" w:cs="Arial" w:hAnsi="Arial"/>
          <w:sz w:val="22"/>
        </w:rPr>
        <w:t xml:space="preserve"> 非正式合作</w:t>
      </w:r>
    </w:p>
    <w:p>
      <w:pPr>
        <w:numPr>
          <w:numId w:val="40"/>
        </w:numPr>
        <w:spacing w:before="120" w:after="120" w:line="288" w:lineRule="auto"/>
        <w:ind w:left="0"/>
        <w:jc w:val="left"/>
      </w:pPr>
      <w:r>
        <w:rPr>
          <w:rFonts w:eastAsia="等线" w:ascii="Arial" w:cs="Arial" w:hAnsi="Arial"/>
          <w:sz w:val="22"/>
        </w:rPr>
        <w:t xml:space="preserve"> 运动路线分歧</w:t>
      </w:r>
    </w:p>
    <w:p>
      <w:pPr>
        <w:numPr>
          <w:numId w:val="41"/>
        </w:numPr>
        <w:spacing w:before="120" w:after="120" w:line="288" w:lineRule="auto"/>
        <w:ind w:left="0"/>
        <w:jc w:val="left"/>
      </w:pPr>
      <w:r>
        <w:rPr>
          <w:rFonts w:eastAsia="等线" w:ascii="Arial" w:cs="Arial" w:hAnsi="Arial"/>
          <w:sz w:val="22"/>
        </w:rPr>
        <w:t xml:space="preserve"> 公开资料中无法看到的资源渠道</w:t>
      </w:r>
    </w:p>
    <w:p>
      <w:pPr>
        <w:numPr>
          <w:numId w:val="42"/>
        </w:numPr>
        <w:spacing w:before="120" w:after="120" w:line="288" w:lineRule="auto"/>
        <w:ind w:left="0"/>
        <w:jc w:val="left"/>
      </w:pPr>
      <w:r>
        <w:rPr>
          <w:rFonts w:eastAsia="等线" w:ascii="Arial" w:cs="Arial" w:hAnsi="Arial"/>
          <w:sz w:val="22"/>
        </w:rPr>
        <w:t xml:space="preserve"> 人物之间的桥梁关系</w:t>
      </w:r>
    </w:p>
    <w:p>
      <w:pPr>
        <w:numPr>
          <w:numId w:val="43"/>
        </w:numPr>
        <w:spacing w:before="120" w:after="120" w:line="288" w:lineRule="auto"/>
        <w:ind w:left="0"/>
        <w:jc w:val="left"/>
      </w:pPr>
      <w:r>
        <w:rPr>
          <w:rFonts w:eastAsia="等线" w:ascii="Arial" w:cs="Arial" w:hAnsi="Arial"/>
          <w:sz w:val="22"/>
        </w:rPr>
        <w:t xml:space="preserve"> 资料缺口和事件解释</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5. </w:t>
      </w:r>
      <w:r>
        <w:rPr>
          <w:rFonts w:eastAsia="等线" w:ascii="Arial" w:cs="Arial" w:hAnsi="Arial"/>
          <w:b w:val="true"/>
          <w:sz w:val="36"/>
        </w:rPr>
        <w:t>研究模块菜单</w:t>
      </w:r>
      <w:bookmarkEnd w:id="4"/>
    </w:p>
    <w:p>
      <w:pPr>
        <w:spacing w:before="120" w:after="120" w:line="288" w:lineRule="auto"/>
        <w:ind w:left="0"/>
        <w:jc w:val="left"/>
      </w:pPr>
    </w:p>
    <w:p>
      <w:pPr>
        <w:spacing w:before="120" w:after="120" w:line="288" w:lineRule="auto"/>
        <w:ind w:left="0"/>
        <w:jc w:val="left"/>
      </w:pPr>
      <w:r>
        <w:rPr>
          <w:rFonts w:eastAsia="等线" w:ascii="Arial" w:cs="Arial" w:hAnsi="Arial"/>
          <w:sz w:val="22"/>
        </w:rPr>
        <w:t>本项目的研究工作分为两层：</w:t>
      </w:r>
    </w:p>
    <w:p>
      <w:pPr>
        <w:spacing w:before="120" w:after="120" w:line="288" w:lineRule="auto"/>
        <w:ind w:left="0"/>
        <w:jc w:val="left"/>
      </w:pPr>
      <w:r>
        <w:rPr>
          <w:rFonts w:eastAsia="等线" w:ascii="Arial" w:cs="Arial" w:hAnsi="Arial"/>
          <w:sz w:val="22"/>
        </w:rPr>
        <w:t>第一层是</w:t>
      </w:r>
      <w:r>
        <w:rPr>
          <w:rFonts w:eastAsia="等线" w:ascii="Arial" w:cs="Arial" w:hAnsi="Arial"/>
          <w:b w:val="true"/>
          <w:sz w:val="22"/>
        </w:rPr>
        <w:t>基础建设模块</w:t>
      </w:r>
      <w:r>
        <w:rPr>
          <w:rFonts w:eastAsia="等线" w:ascii="Arial" w:cs="Arial" w:hAnsi="Arial"/>
          <w:sz w:val="22"/>
        </w:rPr>
        <w:t>，属于必做部分。因为这些模块是整个项目的数据底座。</w:t>
      </w:r>
    </w:p>
    <w:p>
      <w:pPr>
        <w:spacing w:before="120" w:after="120" w:line="288" w:lineRule="auto"/>
        <w:ind w:left="0"/>
        <w:jc w:val="left"/>
      </w:pPr>
      <w:r>
        <w:rPr>
          <w:rFonts w:eastAsia="等线" w:ascii="Arial" w:cs="Arial" w:hAnsi="Arial"/>
          <w:sz w:val="22"/>
        </w:rPr>
        <w:t>第二层是</w:t>
      </w:r>
      <w:r>
        <w:rPr>
          <w:rFonts w:eastAsia="等线" w:ascii="Arial" w:cs="Arial" w:hAnsi="Arial"/>
          <w:b w:val="true"/>
          <w:sz w:val="22"/>
        </w:rPr>
        <w:t>选作研究模块</w:t>
      </w:r>
      <w:r>
        <w:rPr>
          <w:rFonts w:eastAsia="等线" w:ascii="Arial" w:cs="Arial" w:hAnsi="Arial"/>
          <w:sz w:val="22"/>
        </w:rPr>
        <w:t>。这些模块是具体研究方向。每个模块都可以单独形成图表、分析段落或论文小节。应根据研究重点、资料可得性、时间和预算选择来选作</w:t>
      </w: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5.1 </w:t>
      </w:r>
      <w:r>
        <w:rPr>
          <w:rFonts w:eastAsia="等线" w:ascii="Arial" w:cs="Arial" w:hAnsi="Arial"/>
          <w:b w:val="true"/>
          <w:sz w:val="32"/>
        </w:rPr>
        <w:t>基础建设部分（必做）</w:t>
      </w:r>
      <w:bookmarkEnd w:id="5"/>
    </w:p>
    <w:p>
      <w:pPr>
        <w:spacing w:before="120" w:after="120" w:line="288" w:lineRule="auto"/>
        <w:ind w:left="0"/>
        <w:jc w:val="left"/>
      </w:pPr>
    </w:p>
    <w:p>
      <w:pPr>
        <w:spacing w:before="120" w:after="120" w:line="288" w:lineRule="auto"/>
        <w:ind w:left="0"/>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5.2 </w:t>
      </w:r>
      <w:r>
        <w:rPr>
          <w:rFonts w:eastAsia="等线" w:ascii="Arial" w:cs="Arial" w:hAnsi="Arial"/>
          <w:b w:val="true"/>
          <w:sz w:val="32"/>
        </w:rPr>
        <w:t>选作研究模块，按综合优先级排序</w:t>
      </w:r>
      <w:bookmarkEnd w:id="6"/>
    </w:p>
    <w:p>
      <w:pPr>
        <w:spacing w:before="120" w:after="120" w:line="288" w:lineRule="auto"/>
        <w:ind w:left="0"/>
        <w:jc w:val="left"/>
      </w:pPr>
    </w:p>
    <w:p>
      <w:pPr>
        <w:spacing w:before="120" w:after="120" w:line="288" w:lineRule="auto"/>
        <w:ind w:left="0"/>
        <w:jc w:val="left"/>
      </w:pPr>
      <w:r>
        <w:rPr>
          <w:rFonts w:eastAsia="等线" w:ascii="Arial" w:cs="Arial" w:hAnsi="Arial"/>
          <w:sz w:val="22"/>
        </w:rPr>
        <w:t>排序按照四个标准综合判断：</w:t>
      </w:r>
    </w:p>
    <w:p>
      <w:pPr>
        <w:numPr>
          <w:numId w:val="44"/>
        </w:numPr>
        <w:spacing w:before="120" w:after="120" w:line="288" w:lineRule="auto"/>
        <w:ind w:left="0"/>
        <w:jc w:val="left"/>
      </w:pPr>
      <w:r>
        <w:rPr>
          <w:rFonts w:eastAsia="等线" w:ascii="Arial" w:cs="Arial" w:hAnsi="Arial"/>
          <w:sz w:val="22"/>
        </w:rPr>
        <w:t>是否直接服务本项目核心问题</w:t>
      </w:r>
    </w:p>
    <w:p>
      <w:pPr>
        <w:numPr>
          <w:numId w:val="45"/>
        </w:numPr>
        <w:spacing w:before="120" w:after="120" w:line="288" w:lineRule="auto"/>
        <w:ind w:left="0"/>
        <w:jc w:val="left"/>
      </w:pPr>
      <w:r>
        <w:rPr>
          <w:rFonts w:eastAsia="等线" w:ascii="Arial" w:cs="Arial" w:hAnsi="Arial"/>
          <w:sz w:val="22"/>
        </w:rPr>
        <w:t>数据是否相对容易获得</w:t>
      </w:r>
    </w:p>
    <w:p>
      <w:pPr>
        <w:numPr>
          <w:numId w:val="46"/>
        </w:numPr>
        <w:spacing w:before="120" w:after="120" w:line="288" w:lineRule="auto"/>
        <w:ind w:left="0"/>
        <w:jc w:val="left"/>
      </w:pPr>
      <w:r>
        <w:rPr>
          <w:rFonts w:eastAsia="等线" w:ascii="Arial" w:cs="Arial" w:hAnsi="Arial"/>
          <w:sz w:val="22"/>
        </w:rPr>
        <w:t>AI 和代码是否能有效辅助</w:t>
      </w:r>
    </w:p>
    <w:p>
      <w:pPr>
        <w:numPr>
          <w:numId w:val="47"/>
        </w:numPr>
        <w:spacing w:before="120" w:after="120" w:line="288" w:lineRule="auto"/>
        <w:ind w:left="0"/>
        <w:jc w:val="left"/>
      </w:pPr>
      <w:r>
        <w:rPr>
          <w:rFonts w:eastAsia="等线" w:ascii="Arial" w:cs="Arial" w:hAnsi="Arial"/>
          <w:sz w:val="22"/>
        </w:rPr>
        <w:t>产出是否适合论文、汇报和可视化展示</w:t>
      </w: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R1. 组织谱系与组织生态</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6495"/>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研究命题</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1972 年后冲绳民间组织如何进入、退出、改名、分裂、合并和延续？哪些组织在多个时期持续存在，哪些只在特定事件中出现？</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主要数据来源</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主体名册、NPO 名录、档案、组织官网、年报、报刊、访谈。</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方法</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组织生命周期追踪；改名、分裂、合并、继承关系编码；按五段分期统计组织进入与退出。</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产出</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组织谱系表、组织生命周期图、分期组织生态图、重要组织简表。</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难度</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数据收集：中；自动化分析：中。</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价值</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极高。直接支撑演变这个核心概念</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排序理由</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价值高、难度适中、对后续所有模块都有帮助</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8" w:id="8"/>
      <w:r>
        <w:rPr>
          <w:rFonts w:eastAsia="等线" w:ascii="Arial" w:cs="Arial" w:hAnsi="Arial"/>
          <w:b w:val="true"/>
          <w:sz w:val="30"/>
        </w:rPr>
        <w:t>R2. 联盟 / 共同行动网络</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6495"/>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研究命题</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哪些组织经常共同联署、共同举办活动、共同诉讼、共同上书或共同访问外部机构？谁是核心组织，谁是跨圈层桥梁？</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主要数据来源</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联署声明、共催活动海报、新闻报道、诉讼材料、请愿书、组织网站、档案。</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方法</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社会网络分析（SNA）；组织—组织网络；按关系类型和时期分别投影；中心性、桥梁性、社群结构和网络密度比较。</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产出</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联盟网络图、桥梁节点名单、时期对比图、共同行动清单。</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难度</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数据收集：中—高；自动化分析：中。</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价值</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极高。回答组织之间如何连接</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排序理由</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最符合网络研究定位的模块，图表产出强，也最容易形成论文主干</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9" w:id="9"/>
      <w:r>
        <w:rPr>
          <w:rFonts w:eastAsia="等线" w:ascii="Arial" w:cs="Arial" w:hAnsi="Arial"/>
          <w:b w:val="true"/>
          <w:sz w:val="30"/>
        </w:rPr>
        <w:t>R3. 组织—议题网络</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6495"/>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研究命题</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冲绳民间组织的诉求是否从反基地核心扩展到环保、人权、自治、劳工、原住民性、国际倡议等议题？这些议题之间是否形成新的跨议题联盟？</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主要数据来源</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声明、年报、会刊、官网、地方报纸、国际提交文件、访谈。</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方法</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组织—议题双模网络；文本编码；议题初码与人工复核；分期比较；必要时做议题流向图或 Sankey 图。</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产出</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组织—议题网络图、议题迁移图、阶段性议题结构表。</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难度</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数据收集：中—高；自动化分析：中—高。</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价值</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极高。直接回答“作用、关注事项和诉求如何变化”</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排序理由</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与项目主问题高度贴合，能解释从反基地到环保、人权、自治、国际倡议的议题扩展</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0" w:id="10"/>
      <w:r>
        <w:rPr>
          <w:rFonts w:eastAsia="等线" w:ascii="Arial" w:cs="Arial" w:hAnsi="Arial"/>
          <w:b w:val="true"/>
          <w:sz w:val="30"/>
        </w:rPr>
        <w:t>R4. 场域与对象转移</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6495"/>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研究命题</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冲绳民间组织的主要抗议、请愿、诉讼和倡议对象是否从地方政府、日本中央政府，扩展到美国机构、法院、联合国机制和国际 NGO？</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主要数据来源</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请愿书、诉讼材料、国际提交文件、新闻、档案、组织声明、访谈。</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方法</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组织—行动场域网络；对象类型编码；按时期比较县政府、市町村、日本中央政府、美国机构、法院、联合国、国际 NGO 等场域。</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产出</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场域转移时间线、组织—场域网络图、行动对象分布图。</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难度</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数据收集：中—高；自动化分析：中。</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价值</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极高。最有辨识度的实质命题之一。</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排序理由</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这个模块能把冲绳民间组织网络的变化，从地方抗争解释到国际化路径</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1" w:id="11"/>
      <w:r>
        <w:rPr>
          <w:rFonts w:eastAsia="等线" w:ascii="Arial" w:cs="Arial" w:hAnsi="Arial"/>
          <w:b w:val="true"/>
          <w:sz w:val="30"/>
        </w:rPr>
        <w:t>R5. 媒体可见度与“谁在发声”</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6495"/>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研究命题</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哪些组织和人物在地方媒体中最常出现、被引用或被塑造成代表性发声者？关键事件后媒体可见度是否重排？</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主要数据来源</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《沖縄タイムス》《琉球新報》数据库、全国纸数据库、电视/网络媒体文本、组织新闻稿。</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方法</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媒体提及量、引述量、共现网络、事件窗口比较、组织/人物可见度排名。</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产出</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媒体可见度排名、引述网络、事件前后变化图、媒体代表性发声者表。</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难度</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数据收集：中；自动化分析：中—高。</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价值</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极高。</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排序理由</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数据相对可得，产出直观，适合和 R2、R3 联动。需要说明媒体可见度不等于真实影响力</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2" w:id="12"/>
      <w:r>
        <w:rPr>
          <w:rFonts w:eastAsia="等线" w:ascii="Arial" w:cs="Arial" w:hAnsi="Arial"/>
          <w:b w:val="true"/>
          <w:sz w:val="30"/>
        </w:rPr>
        <w:t>R6. 地点与空间分布</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6495"/>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研究命题</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组织、事件和议题是否围绕特定基地、海域、县厅、法院、市町村或抗议现场展开？空间位置是否影响联盟形成？</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主要数据来源</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事件地点、组织所在地、新闻报道、地图资料、官方文件、活动海报。</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方法</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地点标准化、空间分布、地点—组织网络、地点—议题网络、地图可视化。</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产出</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行动地图、热点分布、地点—议题图、空间扩散示意。</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难度</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数据收集：中；自动化分析：中。</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价值</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高。冲绳议题高度空间化，可视化效果强</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排序理由</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难度适中，展示效果好，适合作为论文和汇报中的视觉支撑模块</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3" w:id="13"/>
      <w:r>
        <w:rPr>
          <w:rFonts w:eastAsia="等线" w:ascii="Arial" w:cs="Arial" w:hAnsi="Arial"/>
          <w:b w:val="true"/>
          <w:sz w:val="30"/>
        </w:rPr>
        <w:t>R7. 公开资源 / 资金 / 行政协作渠道</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6495"/>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研究命题</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哪些组织在公开可观察层面掌握更多资源？行政协作、补助、公募、委托项目、认定 NPO、会员费和公开捐赠信息如何改变组织位置？</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主要数据来源</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事業報告書、财务公开、冲绳县协働実績、补助金/委托项目公开资料、组织年报、官网。</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方法</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资源渠道表；组织—资源来源双模网络；公开金额/资源类型描述统计；必要时做 Sankey 图。</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产出</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公开资源流图、行政协作清单、组织资源类型表、时期对比表。</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难度</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数据收集：高；自动化分析：中。</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价值</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极高。能回答“资金/资源”问题，但必须限定为公开可观察资源。</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排序理由</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价值高，但资料整理成本大。建议先覆盖公开度最高的 NPO 法人、协働実績和可查财务资料，后续再考虑做完整版</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4" w:id="14"/>
      <w:r>
        <w:rPr>
          <w:rFonts w:eastAsia="等线" w:ascii="Arial" w:cs="Arial" w:hAnsi="Arial"/>
          <w:b w:val="true"/>
          <w:sz w:val="30"/>
        </w:rPr>
        <w:t>R8. 资料覆盖与偏差审计</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6495"/>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研究命题</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哪些时期、组织类型、议题和资料来源更容易被记录？哪些关系可能因为资料缺失而被低估？</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主要数据来源</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registry、document registry、gap_log、各模块采集结果。</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方法</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覆盖率统计、来源偏向标注、缺口地图、敏感性分析。</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产出</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资料覆盖表、偏差说明、方法限制段落、后续补采计划。</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难度</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数据收集：中；自动化分析：低—中。</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价值</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中。它不是主要研究发现，但能显著增强研究可信度。</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排序理由</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成本相对低，主要基于已有分析结果，不需要额外的资料收集</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5" w:id="15"/>
      <w:r>
        <w:rPr>
          <w:rFonts w:eastAsia="等线" w:ascii="Arial" w:cs="Arial" w:hAnsi="Arial"/>
          <w:b w:val="true"/>
          <w:sz w:val="30"/>
        </w:rPr>
        <w:t>R9. 关键事件后的网络重排</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6495"/>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研究命题</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1972、1995、2004、2013、2019 等关键节点后，组织联盟、议题结构、媒体可见度和行动场域是否发生可观察重排？</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主要数据来源</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事件表、报刊、组织声明、联署、请愿、诉讼、国际倡议文件。</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方法</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事件前后窗口比较、网络密度/中心性变化、议题流向、过程追踪。</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产出</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转折点对比图、事件窗口表、网络重排叙事。</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难度</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数据收集：高；自动化分析：中。</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价值</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极高。能把静态网络结果转化为历史解释</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排序理由</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解释力强，但依赖 R1–R6 的基础结果</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6" w:id="16"/>
      <w:r>
        <w:rPr>
          <w:rFonts w:eastAsia="等线" w:ascii="Arial" w:cs="Arial" w:hAnsi="Arial"/>
          <w:b w:val="true"/>
          <w:sz w:val="30"/>
        </w:rPr>
        <w:t>R10. 跨国 / 国际倡议网络</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6495"/>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研究命题</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哪些冲绳组织进入跨国倡议网络？它们如何连接海外 NGO、美国机构、联合国机制、国际委员会或国际媒体？</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主要数据来源</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联合国提交、国际联署、海外 NGO 网站、英文声明、法院/委员会文件、新闻。</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方法</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组织—国际场域网络、跨国桥梁分析、双语文本抽取、案例追踪。</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产出</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国际倡议网络图、跨国桥梁组织名单、国际化案例框。</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难度</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数据收集：高；自动化分析：高。</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价值</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排序理由</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特色强，但跨语种、跨平台、跨机构，收集成本高。可尝试与 R4“场域与对象转移”合并设计</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7" w:id="17"/>
      <w:r>
        <w:rPr>
          <w:rFonts w:eastAsia="等线" w:ascii="Arial" w:cs="Arial" w:hAnsi="Arial"/>
          <w:b w:val="true"/>
          <w:sz w:val="30"/>
        </w:rPr>
        <w:t>R11. 典型案例过程追踪</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6495"/>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研究命题</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从若干典型事件或组织出发，说明网络结构、议题变化、资源渠道和场域转移如何在具体历史过程中发生。</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主要数据来源</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前述各模块数据、访谈、报刊、档案、组织文书。</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方法</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案例选择、过程追踪、网络图与文本证据结合、替代解释排查。</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产出</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 个案例框、章节叙事、图表综合说明。</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难度</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数据收集：中—高；自动化分析：低。</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价值</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中—高。能把数据分析转化为可读的历史解释。</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排序理由</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可能是最终论文的组成部分，但应在 R1–R7 有初步结果后再选案例</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8" w:id="18"/>
      <w:r>
        <w:rPr>
          <w:rFonts w:eastAsia="等线" w:ascii="Arial" w:cs="Arial" w:hAnsi="Arial"/>
          <w:b w:val="true"/>
          <w:sz w:val="30"/>
        </w:rPr>
        <w:t>R12. 制度化与“双重位置”</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6495"/>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研究命题</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哪些组织既参与抗争，又与行政合作或承接项目？这种“双重位置”是否改变其网络中心性、议题表达和行动策略？</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主要数据来源</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冲绳县协働実績、委托项目、组织年报、媒体报道、访谈。</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方法</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组织类型划分、资源/协作网络、抗争—协作二维定位、案例比较。</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产出</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组织类型表、四象限图、制度化案例说明。</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难度</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数据收集：中—高；自动化分析：中。</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价值</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中—高。</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排序理由</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有解释力，但依赖资源模块和组织行动模块。适合在 R7 成熟后推进</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9" w:id="19"/>
      <w:r>
        <w:rPr>
          <w:rFonts w:eastAsia="等线" w:ascii="Arial" w:cs="Arial" w:hAnsi="Arial"/>
          <w:b w:val="true"/>
          <w:sz w:val="30"/>
        </w:rPr>
        <w:t>R13. 法律 / 政策渠道网络</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6495"/>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研究命题</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冲绳民间组织如何使用法院、议会、行政程序、环境影响评价、国际人权机制等渠道？法律化是否改变组织联盟？</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主要数据来源</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诉讼文件、判决、请愿、议会材料、EIA 文件、国际机制提交、新闻。</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方法</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组织—法律/政策渠道网络；案件—组织双模网络；渠道转移时间线。</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产出</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法律渠道网络图、案件—组织表、政策渠道时间线。</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难度</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数据收集：高；自动化分析：中—高。</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价值</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中—高。适合与环保、国际化、边野古议题结合</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排序理由</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专业性强，资料门槛高</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0" w:id="20"/>
      <w:r>
        <w:rPr>
          <w:rFonts w:eastAsia="等线" w:ascii="Arial" w:cs="Arial" w:hAnsi="Arial"/>
          <w:b w:val="true"/>
          <w:sz w:val="30"/>
        </w:rPr>
        <w:t>R14. 叙事 / 框架演变</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6495"/>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研究命题</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组织如何描述自身诉求？反战、反基地、环境保护、人权、地方自治、原住民性、民主主义、国际法等框架如何替换或叠加？</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主要数据来源</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声明、会刊、年报、媒体引述、国际提交、演讲稿、访谈。</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方法</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文本编码、frame coding、关键词共现、主题模型或人工主题比较。</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产出</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框架演变图、关键词共现图、代表性文本案例。</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难度</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数据收集：中—高；自动化分析：中—高。</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价值</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中。能补足网络图的意义解释</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排序理由</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价值明确，但和 R3“组织—议题网络”部分重叠</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1" w:id="21"/>
      <w:r>
        <w:rPr>
          <w:rFonts w:eastAsia="等线" w:ascii="Arial" w:cs="Arial" w:hAnsi="Arial"/>
          <w:b w:val="true"/>
          <w:sz w:val="30"/>
        </w:rPr>
        <w:t>R15. 人物—组织互锁与关键经纪人</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6495"/>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研究命题</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是否存在少数跨组织人物、代表人、役员、律师、研究者或活动家，把不同 NGO、议题和行动场域连接起来？</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主要数据来源</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役员名册、年报、官网、新闻报道、会议资料、访谈。</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方法</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人物—组织双模网络、董事/役员互锁、ego-network、桥梁人物识别。</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产出</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人物—组织互锁图、关键经纪人名单、人物小传/案例框。</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难度</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数据收集：高；自动化分析：高。</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价值</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中—高</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排序理由</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同名消歧、隐私边界、早期资料缺口都会带来较高成本。但可以只做公开人物和样本组织</w:t>
            </w:r>
          </w:p>
        </w:tc>
      </w:tr>
    </w:tbl>
    <w:p>
      <w:pPr>
        <w:spacing w:before="120" w:after="120" w:line="288" w:lineRule="auto"/>
        <w:ind w:left="0"/>
        <w:jc w:val="left"/>
      </w:pP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80673">
    <w:lvl>
      <w:numFmt w:val="bullet"/>
      <w:suff w:val="tab"/>
      <w:lvlText w:val="•"/>
      <w:rPr>
        <w:color w:val="3370ff"/>
      </w:rPr>
    </w:lvl>
  </w:abstractNum>
  <w:abstractNum w:abstractNumId="980674">
    <w:lvl>
      <w:numFmt w:val="bullet"/>
      <w:suff w:val="tab"/>
      <w:lvlText w:val="•"/>
      <w:rPr>
        <w:color w:val="3370ff"/>
      </w:rPr>
    </w:lvl>
  </w:abstractNum>
  <w:abstractNum w:abstractNumId="980675">
    <w:lvl>
      <w:numFmt w:val="bullet"/>
      <w:suff w:val="tab"/>
      <w:lvlText w:val="•"/>
      <w:rPr>
        <w:color w:val="3370ff"/>
      </w:rPr>
    </w:lvl>
  </w:abstractNum>
  <w:abstractNum w:abstractNumId="980676">
    <w:lvl>
      <w:numFmt w:val="bullet"/>
      <w:suff w:val="tab"/>
      <w:lvlText w:val="•"/>
      <w:rPr>
        <w:color w:val="3370ff"/>
      </w:rPr>
    </w:lvl>
  </w:abstractNum>
  <w:abstractNum w:abstractNumId="980677">
    <w:lvl>
      <w:numFmt w:val="bullet"/>
      <w:suff w:val="tab"/>
      <w:lvlText w:val="•"/>
      <w:rPr>
        <w:color w:val="3370ff"/>
      </w:rPr>
    </w:lvl>
  </w:abstractNum>
  <w:abstractNum w:abstractNumId="980678">
    <w:lvl>
      <w:numFmt w:val="bullet"/>
      <w:suff w:val="tab"/>
      <w:lvlText w:val="•"/>
      <w:rPr>
        <w:color w:val="3370ff"/>
      </w:rPr>
    </w:lvl>
  </w:abstractNum>
  <w:abstractNum w:abstractNumId="980679">
    <w:lvl>
      <w:numFmt w:val="bullet"/>
      <w:suff w:val="tab"/>
      <w:lvlText w:val="•"/>
      <w:rPr>
        <w:color w:val="3370ff"/>
      </w:rPr>
    </w:lvl>
  </w:abstractNum>
  <w:abstractNum w:abstractNumId="980680">
    <w:lvl>
      <w:numFmt w:val="bullet"/>
      <w:suff w:val="tab"/>
      <w:lvlText w:val="•"/>
      <w:rPr>
        <w:color w:val="3370ff"/>
      </w:rPr>
    </w:lvl>
  </w:abstractNum>
  <w:abstractNum w:abstractNumId="980681">
    <w:lvl>
      <w:numFmt w:val="bullet"/>
      <w:suff w:val="tab"/>
      <w:lvlText w:val="•"/>
      <w:rPr>
        <w:color w:val="3370ff"/>
      </w:rPr>
    </w:lvl>
  </w:abstractNum>
  <w:abstractNum w:abstractNumId="980682">
    <w:lvl>
      <w:numFmt w:val="bullet"/>
      <w:suff w:val="tab"/>
      <w:lvlText w:val="•"/>
      <w:rPr>
        <w:color w:val="3370ff"/>
      </w:rPr>
    </w:lvl>
  </w:abstractNum>
  <w:abstractNum w:abstractNumId="980683">
    <w:lvl>
      <w:numFmt w:val="bullet"/>
      <w:suff w:val="tab"/>
      <w:lvlText w:val="•"/>
      <w:rPr>
        <w:color w:val="3370ff"/>
      </w:rPr>
    </w:lvl>
  </w:abstractNum>
  <w:abstractNum w:abstractNumId="980684">
    <w:lvl>
      <w:numFmt w:val="bullet"/>
      <w:suff w:val="tab"/>
      <w:lvlText w:val="•"/>
      <w:rPr>
        <w:color w:val="3370ff"/>
      </w:rPr>
    </w:lvl>
  </w:abstractNum>
  <w:abstractNum w:abstractNumId="980685">
    <w:lvl>
      <w:numFmt w:val="bullet"/>
      <w:suff w:val="tab"/>
      <w:lvlText w:val="•"/>
      <w:rPr>
        <w:color w:val="3370ff"/>
      </w:rPr>
    </w:lvl>
  </w:abstractNum>
  <w:abstractNum w:abstractNumId="980686">
    <w:lvl>
      <w:numFmt w:val="bullet"/>
      <w:suff w:val="tab"/>
      <w:lvlText w:val="•"/>
      <w:rPr>
        <w:color w:val="3370ff"/>
      </w:rPr>
    </w:lvl>
  </w:abstractNum>
  <w:abstractNum w:abstractNumId="980687">
    <w:lvl>
      <w:numFmt w:val="bullet"/>
      <w:suff w:val="tab"/>
      <w:lvlText w:val="•"/>
      <w:rPr>
        <w:color w:val="3370ff"/>
      </w:rPr>
    </w:lvl>
  </w:abstractNum>
  <w:abstractNum w:abstractNumId="980688">
    <w:lvl>
      <w:numFmt w:val="bullet"/>
      <w:suff w:val="tab"/>
      <w:lvlText w:val="•"/>
      <w:rPr>
        <w:color w:val="3370ff"/>
      </w:rPr>
    </w:lvl>
  </w:abstractNum>
  <w:abstractNum w:abstractNumId="980689">
    <w:lvl>
      <w:numFmt w:val="bullet"/>
      <w:suff w:val="tab"/>
      <w:lvlText w:val="•"/>
      <w:rPr>
        <w:color w:val="3370ff"/>
      </w:rPr>
    </w:lvl>
  </w:abstractNum>
  <w:abstractNum w:abstractNumId="980690">
    <w:lvl>
      <w:numFmt w:val="bullet"/>
      <w:suff w:val="tab"/>
      <w:lvlText w:val="•"/>
      <w:rPr>
        <w:color w:val="3370ff"/>
      </w:rPr>
    </w:lvl>
  </w:abstractNum>
  <w:abstractNum w:abstractNumId="980691">
    <w:lvl>
      <w:numFmt w:val="bullet"/>
      <w:suff w:val="tab"/>
      <w:lvlText w:val="•"/>
      <w:rPr>
        <w:color w:val="3370ff"/>
      </w:rPr>
    </w:lvl>
  </w:abstractNum>
  <w:abstractNum w:abstractNumId="980692">
    <w:lvl>
      <w:numFmt w:val="bullet"/>
      <w:suff w:val="tab"/>
      <w:lvlText w:val="•"/>
      <w:rPr>
        <w:color w:val="3370ff"/>
      </w:rPr>
    </w:lvl>
  </w:abstractNum>
  <w:abstractNum w:abstractNumId="980693">
    <w:lvl>
      <w:numFmt w:val="bullet"/>
      <w:suff w:val="tab"/>
      <w:lvlText w:val="•"/>
      <w:rPr>
        <w:color w:val="3370ff"/>
      </w:rPr>
    </w:lvl>
  </w:abstractNum>
  <w:abstractNum w:abstractNumId="980694">
    <w:lvl>
      <w:numFmt w:val="bullet"/>
      <w:suff w:val="tab"/>
      <w:lvlText w:val="•"/>
      <w:rPr>
        <w:color w:val="3370ff"/>
      </w:rPr>
    </w:lvl>
  </w:abstractNum>
  <w:abstractNum w:abstractNumId="980695">
    <w:lvl>
      <w:numFmt w:val="bullet"/>
      <w:suff w:val="tab"/>
      <w:lvlText w:val="•"/>
      <w:rPr>
        <w:color w:val="3370ff"/>
      </w:rPr>
    </w:lvl>
  </w:abstractNum>
  <w:abstractNum w:abstractNumId="980696">
    <w:lvl>
      <w:numFmt w:val="bullet"/>
      <w:suff w:val="tab"/>
      <w:lvlText w:val="•"/>
      <w:rPr>
        <w:color w:val="3370ff"/>
      </w:rPr>
    </w:lvl>
  </w:abstractNum>
  <w:abstractNum w:abstractNumId="980697">
    <w:lvl>
      <w:numFmt w:val="bullet"/>
      <w:suff w:val="tab"/>
      <w:lvlText w:val="•"/>
      <w:rPr>
        <w:color w:val="3370ff"/>
      </w:rPr>
    </w:lvl>
  </w:abstractNum>
  <w:abstractNum w:abstractNumId="980698">
    <w:lvl>
      <w:numFmt w:val="bullet"/>
      <w:suff w:val="tab"/>
      <w:lvlText w:val="•"/>
      <w:rPr>
        <w:color w:val="3370ff"/>
      </w:rPr>
    </w:lvl>
  </w:abstractNum>
  <w:abstractNum w:abstractNumId="980699">
    <w:lvl>
      <w:numFmt w:val="bullet"/>
      <w:suff w:val="tab"/>
      <w:lvlText w:val="•"/>
      <w:rPr>
        <w:color w:val="3370ff"/>
      </w:rPr>
    </w:lvl>
  </w:abstractNum>
  <w:abstractNum w:abstractNumId="980700">
    <w:lvl>
      <w:numFmt w:val="bullet"/>
      <w:suff w:val="tab"/>
      <w:lvlText w:val="•"/>
      <w:rPr>
        <w:color w:val="3370ff"/>
      </w:rPr>
    </w:lvl>
  </w:abstractNum>
  <w:abstractNum w:abstractNumId="980701">
    <w:lvl>
      <w:numFmt w:val="bullet"/>
      <w:suff w:val="tab"/>
      <w:lvlText w:val="•"/>
      <w:rPr>
        <w:color w:val="3370ff"/>
      </w:rPr>
    </w:lvl>
  </w:abstractNum>
  <w:abstractNum w:abstractNumId="980702">
    <w:lvl>
      <w:numFmt w:val="bullet"/>
      <w:suff w:val="tab"/>
      <w:lvlText w:val="•"/>
      <w:rPr>
        <w:color w:val="3370ff"/>
      </w:rPr>
    </w:lvl>
  </w:abstractNum>
  <w:abstractNum w:abstractNumId="980703">
    <w:lvl>
      <w:numFmt w:val="bullet"/>
      <w:suff w:val="tab"/>
      <w:lvlText w:val="•"/>
      <w:rPr>
        <w:color w:val="3370ff"/>
      </w:rPr>
    </w:lvl>
  </w:abstractNum>
  <w:abstractNum w:abstractNumId="980704">
    <w:lvl>
      <w:numFmt w:val="bullet"/>
      <w:suff w:val="tab"/>
      <w:lvlText w:val="•"/>
      <w:rPr>
        <w:color w:val="3370ff"/>
      </w:rPr>
    </w:lvl>
  </w:abstractNum>
  <w:abstractNum w:abstractNumId="980705">
    <w:lvl>
      <w:numFmt w:val="bullet"/>
      <w:suff w:val="tab"/>
      <w:lvlText w:val="•"/>
      <w:rPr>
        <w:color w:val="3370ff"/>
      </w:rPr>
    </w:lvl>
  </w:abstractNum>
  <w:abstractNum w:abstractNumId="980706">
    <w:lvl>
      <w:numFmt w:val="bullet"/>
      <w:suff w:val="tab"/>
      <w:lvlText w:val="•"/>
      <w:rPr>
        <w:color w:val="3370ff"/>
      </w:rPr>
    </w:lvl>
  </w:abstractNum>
  <w:abstractNum w:abstractNumId="980707">
    <w:lvl>
      <w:numFmt w:val="bullet"/>
      <w:suff w:val="tab"/>
      <w:lvlText w:val="•"/>
      <w:rPr>
        <w:color w:val="3370ff"/>
      </w:rPr>
    </w:lvl>
  </w:abstractNum>
  <w:abstractNum w:abstractNumId="980708">
    <w:lvl>
      <w:numFmt w:val="bullet"/>
      <w:suff w:val="tab"/>
      <w:lvlText w:val="•"/>
      <w:rPr>
        <w:color w:val="3370ff"/>
      </w:rPr>
    </w:lvl>
  </w:abstractNum>
  <w:abstractNum w:abstractNumId="980709">
    <w:lvl>
      <w:numFmt w:val="bullet"/>
      <w:suff w:val="tab"/>
      <w:lvlText w:val="•"/>
      <w:rPr>
        <w:color w:val="3370ff"/>
      </w:rPr>
    </w:lvl>
  </w:abstractNum>
  <w:abstractNum w:abstractNumId="980710">
    <w:lvl>
      <w:numFmt w:val="bullet"/>
      <w:suff w:val="tab"/>
      <w:lvlText w:val="•"/>
      <w:rPr>
        <w:color w:val="3370ff"/>
      </w:rPr>
    </w:lvl>
  </w:abstractNum>
  <w:abstractNum w:abstractNumId="980711">
    <w:lvl>
      <w:numFmt w:val="bullet"/>
      <w:suff w:val="tab"/>
      <w:lvlText w:val="•"/>
      <w:rPr>
        <w:color w:val="3370ff"/>
      </w:rPr>
    </w:lvl>
  </w:abstractNum>
  <w:abstractNum w:abstractNumId="980712">
    <w:lvl>
      <w:numFmt w:val="bullet"/>
      <w:suff w:val="tab"/>
      <w:lvlText w:val="•"/>
      <w:rPr>
        <w:color w:val="3370ff"/>
      </w:rPr>
    </w:lvl>
  </w:abstractNum>
  <w:abstractNum w:abstractNumId="980713">
    <w:lvl>
      <w:numFmt w:val="bullet"/>
      <w:suff w:val="tab"/>
      <w:lvlText w:val="•"/>
      <w:rPr>
        <w:color w:val="3370ff"/>
      </w:rPr>
    </w:lvl>
  </w:abstractNum>
  <w:abstractNum w:abstractNumId="980714">
    <w:lvl>
      <w:numFmt w:val="bullet"/>
      <w:suff w:val="tab"/>
      <w:lvlText w:val="•"/>
      <w:rPr>
        <w:color w:val="3370ff"/>
      </w:rPr>
    </w:lvl>
  </w:abstractNum>
  <w:abstractNum w:abstractNumId="980715">
    <w:lvl>
      <w:numFmt w:val="bullet"/>
      <w:suff w:val="tab"/>
      <w:lvlText w:val="•"/>
      <w:rPr>
        <w:color w:val="3370ff"/>
      </w:rPr>
    </w:lvl>
  </w:abstractNum>
  <w:abstractNum w:abstractNumId="980716">
    <w:lvl>
      <w:numFmt w:val="bullet"/>
      <w:suff w:val="tab"/>
      <w:lvlText w:val="•"/>
      <w:rPr>
        <w:color w:val="3370ff"/>
      </w:rPr>
    </w:lvl>
  </w:abstractNum>
  <w:abstractNum w:abstractNumId="980717">
    <w:lvl>
      <w:numFmt w:val="bullet"/>
      <w:suff w:val="tab"/>
      <w:lvlText w:val="•"/>
      <w:rPr>
        <w:color w:val="3370ff"/>
      </w:rPr>
    </w:lvl>
  </w:abstractNum>
  <w:abstractNum w:abstractNumId="980718">
    <w:lvl>
      <w:numFmt w:val="bullet"/>
      <w:suff w:val="tab"/>
      <w:lvlText w:val="•"/>
      <w:rPr>
        <w:color w:val="3370ff"/>
      </w:rPr>
    </w:lvl>
  </w:abstractNum>
  <w:abstractNum w:abstractNumId="980719">
    <w:lvl>
      <w:numFmt w:val="bullet"/>
      <w:suff w:val="tab"/>
      <w:lvlText w:val="•"/>
      <w:rPr>
        <w:color w:val="3370ff"/>
      </w:rPr>
    </w:lvl>
  </w:abstractNum>
  <w:num w:numId="1">
    <w:abstractNumId w:val="980673"/>
  </w:num>
  <w:num w:numId="2">
    <w:abstractNumId w:val="980674"/>
  </w:num>
  <w:num w:numId="3">
    <w:abstractNumId w:val="980675"/>
  </w:num>
  <w:num w:numId="4">
    <w:abstractNumId w:val="980676"/>
  </w:num>
  <w:num w:numId="5">
    <w:abstractNumId w:val="980677"/>
  </w:num>
  <w:num w:numId="6">
    <w:abstractNumId w:val="980678"/>
  </w:num>
  <w:num w:numId="7">
    <w:abstractNumId w:val="980679"/>
  </w:num>
  <w:num w:numId="8">
    <w:abstractNumId w:val="980680"/>
  </w:num>
  <w:num w:numId="9">
    <w:abstractNumId w:val="980681"/>
  </w:num>
  <w:num w:numId="10">
    <w:abstractNumId w:val="980682"/>
  </w:num>
  <w:num w:numId="11">
    <w:abstractNumId w:val="980683"/>
  </w:num>
  <w:num w:numId="12">
    <w:abstractNumId w:val="980684"/>
  </w:num>
  <w:num w:numId="13">
    <w:abstractNumId w:val="980685"/>
  </w:num>
  <w:num w:numId="14">
    <w:abstractNumId w:val="980686"/>
  </w:num>
  <w:num w:numId="15">
    <w:abstractNumId w:val="980687"/>
  </w:num>
  <w:num w:numId="16">
    <w:abstractNumId w:val="980688"/>
  </w:num>
  <w:num w:numId="17">
    <w:abstractNumId w:val="980689"/>
  </w:num>
  <w:num w:numId="18">
    <w:abstractNumId w:val="980690"/>
  </w:num>
  <w:num w:numId="19">
    <w:abstractNumId w:val="980691"/>
  </w:num>
  <w:num w:numId="20">
    <w:abstractNumId w:val="980692"/>
  </w:num>
  <w:num w:numId="21">
    <w:abstractNumId w:val="980693"/>
  </w:num>
  <w:num w:numId="22">
    <w:abstractNumId w:val="980694"/>
  </w:num>
  <w:num w:numId="23">
    <w:abstractNumId w:val="980695"/>
  </w:num>
  <w:num w:numId="24">
    <w:abstractNumId w:val="980696"/>
  </w:num>
  <w:num w:numId="25">
    <w:abstractNumId w:val="980697"/>
  </w:num>
  <w:num w:numId="26">
    <w:abstractNumId w:val="980698"/>
  </w:num>
  <w:num w:numId="27">
    <w:abstractNumId w:val="980699"/>
  </w:num>
  <w:num w:numId="28">
    <w:abstractNumId w:val="980700"/>
  </w:num>
  <w:num w:numId="29">
    <w:abstractNumId w:val="980701"/>
  </w:num>
  <w:num w:numId="30">
    <w:abstractNumId w:val="980702"/>
  </w:num>
  <w:num w:numId="31">
    <w:abstractNumId w:val="980703"/>
  </w:num>
  <w:num w:numId="32">
    <w:abstractNumId w:val="980704"/>
  </w:num>
  <w:num w:numId="33">
    <w:abstractNumId w:val="980705"/>
  </w:num>
  <w:num w:numId="34">
    <w:abstractNumId w:val="980706"/>
  </w:num>
  <w:num w:numId="35">
    <w:abstractNumId w:val="980707"/>
  </w:num>
  <w:num w:numId="36">
    <w:abstractNumId w:val="980708"/>
  </w:num>
  <w:num w:numId="37">
    <w:abstractNumId w:val="980709"/>
  </w:num>
  <w:num w:numId="38">
    <w:abstractNumId w:val="980710"/>
  </w:num>
  <w:num w:numId="39">
    <w:abstractNumId w:val="980711"/>
  </w:num>
  <w:num w:numId="40">
    <w:abstractNumId w:val="980712"/>
  </w:num>
  <w:num w:numId="41">
    <w:abstractNumId w:val="980713"/>
  </w:num>
  <w:num w:numId="42">
    <w:abstractNumId w:val="980714"/>
  </w:num>
  <w:num w:numId="43">
    <w:abstractNumId w:val="980715"/>
  </w:num>
  <w:num w:numId="44">
    <w:abstractNumId w:val="980716"/>
  </w:num>
  <w:num w:numId="45">
    <w:abstractNumId w:val="980717"/>
  </w:num>
  <w:num w:numId="46">
    <w:abstractNumId w:val="980718"/>
  </w:num>
  <w:num w:numId="47">
    <w:abstractNumId w:val="98071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numbering.xml" Type="http://schemas.openxmlformats.org/officeDocument/2006/relationships/numbering"/><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2026-05-20T09:51:34Z</dcterms:created>
  <dc:creator>Apache POI</dc:creator>
</cp:coreProperties>
</file>