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 w:cs="宋体"/>
          <w:sz w:val="24"/>
          <w:szCs w:val="24"/>
          <w:b w:val="1"/>
          <w:bCs w:val="1"/>
          <w:i w:val="0"/>
          <w:iCs w:val="0"/>
          <w:color w:val="000000"/>
        </w:rPr>
        <w:t>机器学习课程设计报告</w:t>
      </w:r>
    </w:p>
    <w:p>
      <w:pPr>
        <w:pStyle w:val="Subtitle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植物幼苗分类与人脸表情识别</w:t>
      </w: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本报告包含前两个实验。第一章研究小样本植物幼苗五分类，通过预训练模型迁移、数据增强、五折融合与测试时增强完成分类；第二章研究低分辨率人脸表情六分类，通过重复图像分组验证、迁移学习与三个模型的概率融合完成识别。</w:t>
      </w: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植物分类已核实的最高提交分数为0.9259，对应ConvNeXt-Small 320方案；人脸表情分类由单模型0.714提高至三模型融合0.728。后续分析分别讨论模型验证结果、Kaggle提交结果及数据处理对结果解释的影响。</w:t>
      </w:r>
    </w:p>
    <w:p>
      <w:pPr>
        <w:pStyle w:val="Heading2"/>
      </w:pPr>
      <w:r>
        <w:rPr>
          <w:rFonts w:ascii="宋体" w:hAnsi="宋体" w:eastAsia="宋体" w:cs="宋体"/>
          <w:sz w:val="24"/>
          <w:szCs w:val="24"/>
          <w:b w:val="1"/>
          <w:bCs w:val="1"/>
          <w:i w:val="0"/>
          <w:iCs w:val="0"/>
          <w:color w:val="000000"/>
        </w:rPr>
        <w:t>报告内容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520"/>
      </w:tblGrid>
      <w:tr>
        <w:trPr>
          <w:tblHeader/>
          <w:cantSplit/>
        </w:trPr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1"/>
                <w:bCs w:val="1"/>
                <w:i w:val="0"/>
                <w:iCs w:val="0"/>
                <w:color w:val="000000"/>
              </w:rPr>
              <w:t>章节</w:t>
            </w:r>
          </w:p>
        </w:tc>
        <w:tc>
          <w:tcPr>
            <w:tcW w:type="dxa" w:w="65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1"/>
                <w:bCs w:val="1"/>
                <w:i w:val="0"/>
                <w:iCs w:val="0"/>
                <w:color w:val="000000"/>
              </w:rPr>
              <w:t>内容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第一章 植物幼苗分类</w:t>
            </w:r>
          </w:p>
        </w:tc>
        <w:tc>
          <w:tcPr>
            <w:tcW w:type="dxa" w:w="65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任务与数据、模型结构、训练方案、方法对照、结果分析与复现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第二章 人脸表情识别</w:t>
            </w:r>
          </w:p>
        </w:tc>
        <w:tc>
          <w:tcPr>
            <w:tcW w:type="dxa" w:w="65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数据审计、分组划分、训练与恢复、集成验证、错误分析与复现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宋体" w:hAnsi="宋体" w:eastAsia="宋体" w:cs="宋体"/>
          <w:sz w:val="24"/>
          <w:szCs w:val="24"/>
          <w:b w:val="1"/>
          <w:bCs w:val="1"/>
          <w:i w:val="0"/>
          <w:iCs w:val="0"/>
          <w:color w:val="000000"/>
        </w:rPr>
        <w:t>代码与实验材料</w:t>
      </w:r>
    </w:p>
    <w:p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GitHub公开仓库：</w:t>
      </w:r>
      <w:hyperlink r:id="rId10">
        <w:r>
          <w:rPr>
            <w:rFonts w:ascii="宋体" w:hAnsi="宋体" w:eastAsia="宋体" w:cs="宋体"/>
            <w:sz w:val="24"/>
            <w:szCs w:val="24"/>
            <w:b w:val="0"/>
            <w:bCs w:val="0"/>
            <w:i w:val="0"/>
            <w:iCs w:val="0"/>
            <w:color w:val="000000"/>
          </w:rPr>
          <w:t>https://github.com/mmma-eey/machine-learning-course-project</w:t>
        </w:r>
      </w:hyperlink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仓库以task1与task2分别存放两个实验的代码、配置、预测结果和证据；报告位于report目录。原始数据和大体积模型权重不随代码上传，数据挂载及运行入口见各实验README。仓库公开，任课教师可直接通过链接审阅代码。</w:t>
      </w: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报告日期 2026年10月21日。第三个实验仍在进行，本报告不包含其方法与结果。</w:t>
      </w:r>
    </w:p>
    <w:p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br w:type="page"/>
      </w:r>
    </w:p>
    <w:p>
      <w:pPr>
        <w:pStyle w:val="Heading1"/>
      </w:pPr>
      <w:r>
        <w:rPr>
          <w:rFonts w:ascii="宋体" w:hAnsi="宋体" w:eastAsia="宋体" w:cs="宋体"/>
          <w:sz w:val="24"/>
          <w:szCs w:val="24"/>
          <w:b w:val="1"/>
          <w:bCs w:val="1"/>
          <w:i w:val="0"/>
          <w:iCs w:val="0"/>
          <w:color w:val="000000"/>
        </w:rPr>
        <w:t>第一章 植物幼苗分类</w:t>
      </w:r>
    </w:p>
    <w:p>
      <w:pPr>
        <w:pStyle w:val="Heading2"/>
      </w:pPr>
      <w:r>
        <w:rPr>
          <w:rFonts w:ascii="宋体" w:hAnsi="宋体" w:eastAsia="宋体" w:cs="宋体"/>
          <w:sz w:val="24"/>
          <w:szCs w:val="24"/>
          <w:b w:val="1"/>
          <w:bCs w:val="1"/>
          <w:i w:val="0"/>
          <w:iCs w:val="0"/>
          <w:color w:val="000000"/>
        </w:rPr>
        <w:t>1.1 任务定义与数据组织</w:t>
      </w: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本实验将RGB植物幼苗图像划分为Black-grass、Common wheat、Loose Silky-bent、Scentless Mayweed和Sugar beet五类。训练标签由图像所属文件夹给出，测试图像没有标签，输出采用ID与Category两列。图像中的背景、拍摄角度和幼苗大小存在变化，其中两类禾本科幼苗的细长叶片形态相近，需要同时利用整体叶形和局部纹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814"/>
        <w:gridCol w:w="1984"/>
        <w:gridCol w:w="2438"/>
      </w:tblGrid>
      <w:tr>
        <w:trPr>
          <w:tblHeader/>
          <w:cantSplit/>
        </w:trPr>
        <w:tc>
          <w:tcPr>
            <w:tcW w:type="dxa" w:w="31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1"/>
                <w:bCs w:val="1"/>
                <w:i w:val="0"/>
                <w:iCs w:val="0"/>
                <w:color w:val="000000"/>
              </w:rPr>
              <w:t>类别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1"/>
                <w:bCs w:val="1"/>
                <w:i w:val="0"/>
                <w:iCs w:val="0"/>
                <w:color w:val="000000"/>
              </w:rPr>
              <w:t>原始训练集</w:t>
            </w:r>
          </w:p>
        </w:tc>
        <w:tc>
          <w:tcPr>
            <w:tcW w:type="dxa" w:w="19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1"/>
                <w:bCs w:val="1"/>
                <w:i w:val="0"/>
                <w:iCs w:val="0"/>
                <w:color w:val="000000"/>
              </w:rPr>
              <w:t>清洗扩充集</w:t>
            </w:r>
          </w:p>
        </w:tc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1"/>
                <w:bCs w:val="1"/>
                <w:i w:val="0"/>
                <w:iCs w:val="0"/>
                <w:color w:val="000000"/>
              </w:rPr>
              <w:t>最佳320版预测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Black-grass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100</w:t>
            </w:r>
          </w:p>
        </w:tc>
        <w:tc>
          <w:tcPr>
            <w:tcW w:type="dxa" w:w="19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222</w:t>
            </w:r>
          </w:p>
        </w:tc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69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Common wheat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100</w:t>
            </w:r>
          </w:p>
        </w:tc>
        <w:tc>
          <w:tcPr>
            <w:tcW w:type="dxa" w:w="19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191</w:t>
            </w:r>
          </w:p>
        </w:tc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33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Loose Silky-bent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100</w:t>
            </w:r>
          </w:p>
        </w:tc>
        <w:tc>
          <w:tcPr>
            <w:tcW w:type="dxa" w:w="19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547</w:t>
            </w:r>
          </w:p>
        </w:tc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103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Scentless Mayweed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100</w:t>
            </w:r>
          </w:p>
        </w:tc>
        <w:tc>
          <w:tcPr>
            <w:tcW w:type="dxa" w:w="19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440</w:t>
            </w:r>
          </w:p>
        </w:tc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90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Sugar beet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100</w:t>
            </w:r>
          </w:p>
        </w:tc>
        <w:tc>
          <w:tcPr>
            <w:tcW w:type="dxa" w:w="19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313</w:t>
            </w:r>
          </w:p>
        </w:tc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83</w:t>
            </w:r>
          </w:p>
        </w:tc>
      </w:tr>
    </w:tbl>
    <w:p>
      <w:pPr>
        <w:spacing w:after="0"/>
      </w:pP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原始训练集共500张，每类100张；测试集共378张。最佳提交使用原始500张训练数据。另有1713张清洗扩充训练数据，用于后续384分辨率对照。对当前清洗目录与测试集进行RGB尺寸及像素哈希复核，未发现完全相同的图像；该检查不排除近重复图像，也不能独立证明外部数据处理的全部历史。</w:t>
      </w:r>
    </w:p>
    <w:p>
      <w:pPr>
        <w:spacing w:after="40"/>
        <w:jc w:val="center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drawing>
          <wp:inline xmlns:a="http://schemas.openxmlformats.org/drawingml/2006/main" xmlns:pic="http://schemas.openxmlformats.org/drawingml/2006/picture">
            <wp:extent cx="5903999" cy="118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t_examp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18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图1 1 原始训练集中五类植物示例</w:t>
      </w:r>
    </w:p>
    <w:p>
      <w:pPr>
        <w:pStyle w:val="Heading2"/>
      </w:pPr>
      <w:r>
        <w:rPr>
          <w:rFonts w:ascii="宋体" w:hAnsi="宋体" w:eastAsia="宋体" w:cs="宋体"/>
          <w:sz w:val="24"/>
          <w:szCs w:val="24"/>
          <w:b w:val="1"/>
          <w:bCs w:val="1"/>
          <w:i w:val="0"/>
          <w:iCs w:val="0"/>
          <w:color w:val="000000"/>
        </w:rPr>
        <w:t>1.2 评价指标</w:t>
      </w: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分类准确率衡量预测类别与真实标签一致的比例；宏平均F1先计算每个类别的F1再等权平均，可减少多数类对评价的支配。代码输出验证准确率、宏平均F1和混淆矩阵。报告中Kaggle结果采用提交页面显示的Score，不将其未经确认地替换为本地Accuracy或宏平均F1。</w:t>
      </w:r>
    </w:p>
    <w:p>
      <w:pPr>
        <w:jc w:val="center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Accuracy = 正确预测数 / 样本总数     Macro F1 = 各类别F1之和 / 5</w:t>
      </w:r>
    </w:p>
    <w:p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br w:type="page"/>
      </w:r>
    </w:p>
    <w:p>
      <w:pPr>
        <w:pStyle w:val="Heading2"/>
      </w:pPr>
      <w:r>
        <w:rPr>
          <w:rFonts w:ascii="宋体" w:hAnsi="宋体" w:eastAsia="宋体" w:cs="宋体"/>
          <w:sz w:val="24"/>
          <w:szCs w:val="24"/>
          <w:b w:val="1"/>
          <w:bCs w:val="1"/>
          <w:i w:val="0"/>
          <w:iCs w:val="0"/>
          <w:color w:val="000000"/>
        </w:rPr>
        <w:t>1.3 模型结构与迁移学习</w:t>
      </w: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最佳提交文件为submission_convnext_small.csv，对应kaggle_convnext_small.py。骨干为convnext_small.fb_in22k_ft_in1k，采用ImageNet-22K预训练并在ImageNet-1K微调的公开权重，再将输出头替换为五分类头。使用预训练特征能够降低500张图像从零学习纹理和形态特征的难度。[1]</w:t>
      </w:r>
    </w:p>
    <w:p>
      <w:pPr>
        <w:spacing w:after="40"/>
        <w:jc w:val="center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drawing>
          <wp:inline xmlns:a="http://schemas.openxmlformats.org/drawingml/2006/main" xmlns:pic="http://schemas.openxmlformats.org/drawingml/2006/picture">
            <wp:extent cx="5832000" cy="3275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t_ar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75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图1 2 ConvNeXt Small 320最佳方案结构与融合流程</w:t>
      </w: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网络先提取多尺度视觉特征，再经全局池化和线性分类头输出五类logit，Softmax将其转换为类别概率。每折独立训练一个模型，测试时先平均同一模型的多个视角概率，再平均五个模型的概率，最后取最大概率类别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6860"/>
      </w:tblGrid>
      <w:tr>
        <w:trPr>
          <w:tblHeader/>
          <w:cantSplit/>
        </w:trPr>
        <w:tc>
          <w:tcPr>
            <w:tcW w:type="dxa" w:w="24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1"/>
                <w:bCs w:val="1"/>
                <w:i w:val="0"/>
                <w:iCs w:val="0"/>
                <w:color w:val="000000"/>
              </w:rPr>
              <w:t>参数</w:t>
            </w:r>
          </w:p>
        </w:tc>
        <w:tc>
          <w:tcPr>
            <w:tcW w:type="dxa" w:w="68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1"/>
                <w:bCs w:val="1"/>
                <w:i w:val="0"/>
                <w:iCs w:val="0"/>
                <w:color w:val="000000"/>
              </w:rPr>
              <w:t>最佳320方案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输入与批量</w:t>
            </w:r>
          </w:p>
        </w:tc>
        <w:tc>
          <w:tcPr>
            <w:tcW w:type="dxa" w:w="68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320×320；batch size 16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划分</w:t>
            </w:r>
          </w:p>
        </w:tc>
        <w:tc>
          <w:tcPr>
            <w:tcW w:type="dxa" w:w="68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StratifiedKFold，5折，shuffle=True，seed=42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训练阶段</w:t>
            </w:r>
          </w:p>
        </w:tc>
        <w:tc>
          <w:tcPr>
            <w:tcW w:type="dxa" w:w="68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冻结骨干训练头3轮；全量微调16轮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学习率</w:t>
            </w:r>
          </w:p>
        </w:tc>
        <w:tc>
          <w:tcPr>
            <w:tcW w:type="dxa" w:w="68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头部8×10⁻⁴；全量微调时头部4×10⁻⁴、骨干1.5×10⁻⁵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优化与正则</w:t>
            </w:r>
          </w:p>
        </w:tc>
        <w:tc>
          <w:tcPr>
            <w:tcW w:type="dxa" w:w="68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AdamW；weight decay 0.01；标签平滑0.08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混合增强与EMA</w:t>
            </w:r>
          </w:p>
        </w:tc>
        <w:tc>
          <w:tcPr>
            <w:tcW w:type="dxa" w:w="68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Mixup α=0.35；CutMix α=0.8；EMA decay=0.995</w:t>
            </w:r>
          </w:p>
        </w:tc>
      </w:tr>
    </w:tbl>
    <w:p>
      <w:pPr>
        <w:spacing w:after="0"/>
      </w:pPr>
    </w:p>
    <w:p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br w:type="page"/>
      </w:r>
    </w:p>
    <w:p>
      <w:pPr>
        <w:pStyle w:val="Heading2"/>
      </w:pPr>
      <w:r>
        <w:rPr>
          <w:rFonts w:ascii="宋体" w:hAnsi="宋体" w:eastAsia="宋体" w:cs="宋体"/>
          <w:sz w:val="24"/>
          <w:szCs w:val="24"/>
          <w:b w:val="1"/>
          <w:bCs w:val="1"/>
          <w:i w:val="0"/>
          <w:iCs w:val="0"/>
          <w:color w:val="000000"/>
        </w:rPr>
        <w:t>1.4 实验方案与训练过程</w:t>
      </w: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使用分层五折划分保持各类别比例一致。每折用400张图像训练、100张图像验证，五折验证预测覆盖全部500张训练图像。原始320版按类别分层，但未按像素重复组划分；若数据中存在同源或重复图像，普通分层划分可能给出偏乐观的验证估计。</w:t>
      </w: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第一阶段冻结预训练骨干，仅更新分类头，避免随机初始化的分类头对预训练特征产生过大扰动。第二阶段解冻全网络，采用不同的头部与骨干学习率，以及余弦退火调度。每个batch更新EMA，完成训练后使用最终EMA模型推理。该版本并未逐轮选择最佳验证检查点，因此不能把某个未经记录的轮次写为最佳轮次。</w:t>
      </w:r>
    </w:p>
    <w:p>
      <w:pPr>
        <w:pStyle w:val="Heading3"/>
      </w:pPr>
      <w:r>
        <w:rPr>
          <w:rFonts w:ascii="宋体" w:hAnsi="宋体" w:eastAsia="宋体" w:cs="宋体"/>
          <w:sz w:val="24"/>
          <w:szCs w:val="24"/>
          <w:b w:val="1"/>
          <w:bCs w:val="1"/>
          <w:i w:val="0"/>
          <w:iCs w:val="0"/>
          <w:color w:val="000000"/>
        </w:rPr>
        <w:t>1.4.1 数据增强与损失函数</w:t>
      </w: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训练增强包括随机裁剪缩放、水平翻转、概率0.25的垂直翻转、±25度旋转、颜色扰动及概率0.25的随机擦除。图像按ImageNet均值与标准差归一化。植物方向没有固定上下约束，翻转与旋转可增加姿态变化；颜色扰动需要控制幅度，避免破坏具有区分类别作用的颜色信息。</w:t>
      </w: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全量微调阶段以0.5概率进行混合增强，其中Mixup与CutMix等概率选择。Mixup对两张图像线性插值，CutMix交换局部区域并按实际替换面积混合监督信号。损失为两组标签的平滑交叉熵加权和，类别权重按训练类别频数计算；原始数据均衡，因此五个类别的权重相同。</w:t>
      </w:r>
    </w:p>
    <w:p>
      <w:pPr>
        <w:jc w:val="center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Lmix = λ Lsmooth(z, ya) + (1−λ) Lsmooth(z, yb)</w:t>
      </w:r>
    </w:p>
    <w:p>
      <w:pPr>
        <w:pStyle w:val="Heading3"/>
      </w:pPr>
      <w:r>
        <w:rPr>
          <w:rFonts w:ascii="宋体" w:hAnsi="宋体" w:eastAsia="宋体" w:cs="宋体"/>
          <w:sz w:val="24"/>
          <w:szCs w:val="24"/>
          <w:b w:val="1"/>
          <w:bCs w:val="1"/>
          <w:i w:val="0"/>
          <w:iCs w:val="0"/>
          <w:color w:val="000000"/>
        </w:rPr>
        <w:t>1.4.2 测试时增强与融合</w:t>
      </w: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实际tta_transform_list枚举两个裁剪尺度1.0和1.08，以及原图或水平翻转，共4个视角。源文件开头虽然写有“8视角”，实际执行逻辑为4视角，报告按可执行代码记载。所有折使用相同测试ID顺序，先按视角平均概率，再按五个模型等权平均，输出最终类别。</w:t>
      </w:r>
    </w:p>
    <w:p>
      <w:pPr>
        <w:jc w:val="center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p(y|x) = Σfold Σview p(y|Tview(x), θfold) / (5×4)</w:t>
      </w: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这一过程能够降低单次数据划分和单个视角造成的预测波动，但不能保证每个模型或每个视角都带来正收益，仍应结合独立验证和最终提交结果判断。</w:t>
      </w:r>
    </w:p>
    <w:p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br w:type="page"/>
      </w:r>
    </w:p>
    <w:p>
      <w:pPr>
        <w:pStyle w:val="Heading2"/>
      </w:pPr>
      <w:r>
        <w:rPr>
          <w:rFonts w:ascii="宋体" w:hAnsi="宋体" w:eastAsia="宋体" w:cs="宋体"/>
          <w:sz w:val="24"/>
          <w:szCs w:val="24"/>
          <w:b w:val="1"/>
          <w:bCs w:val="1"/>
          <w:i w:val="0"/>
          <w:iCs w:val="0"/>
          <w:color w:val="000000"/>
        </w:rPr>
        <w:t>1.5 实验结果与方法对照</w:t>
      </w:r>
    </w:p>
    <w:p>
      <w:pPr>
        <w:spacing w:after="40"/>
        <w:jc w:val="center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drawing>
          <wp:inline xmlns:a="http://schemas.openxmlformats.org/drawingml/2006/main" xmlns:pic="http://schemas.openxmlformats.org/drawingml/2006/picture">
            <wp:extent cx="5688000" cy="24377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t_scor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43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图1 3 已提供Kaggle提交截图中的各版本分数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92"/>
        <w:gridCol w:w="1814"/>
        <w:gridCol w:w="2948"/>
      </w:tblGrid>
      <w:tr>
        <w:trPr>
          <w:tblHeader/>
          <w:cantSplit/>
        </w:trPr>
        <w:tc>
          <w:tcPr>
            <w:tcW w:type="dxa" w:w="4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1"/>
                <w:bCs w:val="1"/>
                <w:i w:val="0"/>
                <w:iCs w:val="0"/>
                <w:color w:val="000000"/>
              </w:rPr>
              <w:t>提交文件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1"/>
                <w:bCs w:val="1"/>
                <w:i w:val="0"/>
                <w:iCs w:val="0"/>
                <w:color w:val="000000"/>
              </w:rPr>
              <w:t>页面分数</w:t>
            </w:r>
          </w:p>
        </w:tc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1"/>
                <w:bCs w:val="1"/>
                <w:i w:val="0"/>
                <w:iCs w:val="0"/>
                <w:color w:val="000000"/>
              </w:rPr>
              <w:t>与最佳方案比较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submission_convnext_small.csv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0.9259</w:t>
            </w:r>
          </w:p>
        </w:tc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最佳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submission_pseudo.csv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0.9232</w:t>
            </w:r>
          </w:p>
        </w:tc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低0.0027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submission_clean_384.csv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0.9206</w:t>
            </w:r>
          </w:p>
        </w:tc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低0.0053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submission_efficientnet_s.csv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0.8201</w:t>
            </w:r>
          </w:p>
        </w:tc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低0.1058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submission.csv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0.8174</w:t>
            </w:r>
          </w:p>
        </w:tc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低0.1085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submission_ensemble.csv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0.8015</w:t>
            </w:r>
          </w:p>
        </w:tc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低0.1244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submission_advanced_ensemble.csv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0.7857</w:t>
            </w:r>
          </w:p>
        </w:tc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低0.1402</w:t>
            </w:r>
          </w:p>
        </w:tc>
      </w:tr>
    </w:tbl>
    <w:p>
      <w:pPr>
        <w:spacing w:after="0"/>
      </w:pP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ConvNeXt-Small 320版取得最高分0.9259，比EfficientNetV2-S版提高0.1058。由于这些版本同时改变了骨干、增强、训练轮数和融合方式，该差异是整套方案的效果，不能直接归因于某一个结构模块。</w:t>
      </w: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伪标签版本使用主模型预测测试图像并筛选高置信样本参与自训练，代码阈值为0.90，提交分数为0.9232；清洗扩充集384版本分数为0.9206。两者均未超过320版，因此本实验保留320版作为最佳方案。伪标签可能传播高置信错误，外部数据扩充可能改变类别比例和数据分布；这些是解释方向，而非已完成消融验证的结论。</w:t>
      </w:r>
    </w:p>
    <w:p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br w:type="page"/>
      </w:r>
    </w:p>
    <w:p>
      <w:pPr>
        <w:pStyle w:val="Heading2"/>
      </w:pPr>
      <w:r>
        <w:rPr>
          <w:rFonts w:ascii="宋体" w:hAnsi="宋体" w:eastAsia="宋体" w:cs="宋体"/>
          <w:sz w:val="24"/>
          <w:szCs w:val="24"/>
          <w:b w:val="1"/>
          <w:bCs w:val="1"/>
          <w:i w:val="0"/>
          <w:iCs w:val="0"/>
          <w:color w:val="000000"/>
        </w:rPr>
        <w:t>1.6 结果分析与复现说明</w:t>
      </w: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当前384版对测试图像的预测分布为Black-grass 36张、Common wheat 35张、Loose Silky-bent 136张、Scentless Mayweed 90张、Sugar beet 81张，与320版共有38张预测不同，占378张测试图像的10.05%。清洗训练集中Loose Silky-bent有547张、Black-grass有222张，类别不均衡值得关注；但没有测试真值时，不能依据预测比例判定哪38张错误，也不能认为测试类别应当均衡。</w:t>
      </w: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清洗384版实际采用十折分层划分的前五折，每个模型训练90%、验证10%，验证预测约覆盖一半数据；这与最佳320版完整五折交叉验证不同。二分类仲裁器及相关合并脚本保留为历史探索代码，未将其作为0.9259提交的生成方法。</w:t>
      </w:r>
    </w:p>
    <w:p>
      <w:pPr>
        <w:pStyle w:val="Heading3"/>
      </w:pPr>
      <w:r>
        <w:rPr>
          <w:rFonts w:ascii="宋体" w:hAnsi="宋体" w:eastAsia="宋体" w:cs="宋体"/>
          <w:sz w:val="24"/>
          <w:szCs w:val="24"/>
          <w:b w:val="1"/>
          <w:bCs w:val="1"/>
          <w:i w:val="0"/>
          <w:iCs w:val="0"/>
          <w:color w:val="000000"/>
        </w:rPr>
        <w:t>1.6.1 可重复运行步骤</w:t>
      </w: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在Kaggle挂载包含train与test的原始课设数据，开启GPU与Internet，在Code单元格执行task1/train_convnext_small.py。程序自动搜索数据根目录，也支持设置PLANT_DATA_ROOT。运行完成后生成/kaggle/working/submission_convnext_small.csv。类别顺序由ImageFolder取得，导出时恢复为类别名称。</w:t>
      </w: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清洗384对照使用task1/train_clean_384.py，并同时挂载清洗训练集与课设测试集。该脚本自动选择符合五个类别目录且图像较多的训练集，因此复现时必须核对启动打印的数据路径，避免无意改变训练来源。历史脚本保留在task1/legacy内，部分本地分析脚本引用旧电脑路径，需要按README设置实际输入。</w:t>
      </w:r>
    </w:p>
    <w:p>
      <w:pPr>
        <w:pStyle w:val="Heading3"/>
      </w:pPr>
      <w:r>
        <w:rPr>
          <w:rFonts w:ascii="宋体" w:hAnsi="宋体" w:eastAsia="宋体" w:cs="宋体"/>
          <w:sz w:val="24"/>
          <w:szCs w:val="24"/>
          <w:b w:val="1"/>
          <w:bCs w:val="1"/>
          <w:i w:val="0"/>
          <w:iCs w:val="0"/>
          <w:color w:val="000000"/>
        </w:rPr>
        <w:t>1.6.2 局限与改进</w:t>
      </w: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本次可核实材料包括代码、最终CSV和提交截图，尚未保留最佳320版的完整逐轮日志、五折验证数值与全部模型权重。因此不补绘训练损失曲线，也不报告无法验证的OOF分数。下一轮应保存每折数据清单、最佳或最终模型、训练历史与预测概率，才能在统一划分上完成增强、EMA和TTA的独立消融。</w:t>
      </w: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本实验说明，在小样本条件下，预训练迁移配合合适的数据增强和多折融合可以得到有效结果；增加数据、提高分辨率和伪标签自训练仍需对照验证。实验结论以已核实的0.9259提交为准。</w:t>
      </w:r>
    </w:p>
    <w:p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br w:type="page"/>
      </w:r>
    </w:p>
    <w:p>
      <w:pPr>
        <w:pStyle w:val="Heading1"/>
      </w:pPr>
      <w:r>
        <w:rPr>
          <w:rFonts w:ascii="宋体" w:hAnsi="宋体" w:eastAsia="宋体" w:cs="宋体"/>
          <w:sz w:val="24"/>
          <w:szCs w:val="24"/>
          <w:b w:val="1"/>
          <w:bCs w:val="1"/>
          <w:i w:val="0"/>
          <w:iCs w:val="0"/>
          <w:color w:val="000000"/>
        </w:rPr>
        <w:t>第二章 人脸表情识别</w:t>
      </w:r>
    </w:p>
    <w:p>
      <w:pPr>
        <w:pStyle w:val="Heading2"/>
      </w:pPr>
      <w:r>
        <w:rPr>
          <w:rFonts w:ascii="宋体" w:hAnsi="宋体" w:eastAsia="宋体" w:cs="宋体"/>
          <w:sz w:val="24"/>
          <w:szCs w:val="24"/>
          <w:b w:val="1"/>
          <w:bCs w:val="1"/>
          <w:i w:val="0"/>
          <w:iCs w:val="0"/>
          <w:color w:val="000000"/>
        </w:rPr>
        <w:t>2.1 任务定义与数据审计</w:t>
      </w: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本实验根据48×48灰度人脸图像预测六类表情：0愤怒、1恐惧、2快乐、3悲伤、4惊讶、5中性。训练标签来自类别文件夹，测试预测按照提交模板的ImageID顺序导出Emotion。训练集28275张、测试集7065张，共35340张图像，评价主要采用分类准确率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2551"/>
        <w:gridCol w:w="2551"/>
        <w:gridCol w:w="3118"/>
      </w:tblGrid>
      <w:tr>
        <w:trPr>
          <w:tblHeader/>
          <w:cantSplit/>
        </w:trPr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1"/>
                <w:bCs w:val="1"/>
                <w:i w:val="0"/>
                <w:iCs w:val="0"/>
                <w:color w:val="000000"/>
              </w:rPr>
              <w:t>编码</w:t>
            </w:r>
          </w:p>
        </w:tc>
        <w:tc>
          <w:tcPr>
            <w:tcW w:type="dxa" w:w="25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1"/>
                <w:bCs w:val="1"/>
                <w:i w:val="0"/>
                <w:iCs w:val="0"/>
                <w:color w:val="000000"/>
              </w:rPr>
              <w:t>类别</w:t>
            </w:r>
          </w:p>
        </w:tc>
        <w:tc>
          <w:tcPr>
            <w:tcW w:type="dxa" w:w="25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1"/>
                <w:bCs w:val="1"/>
                <w:i w:val="0"/>
                <w:iCs w:val="0"/>
                <w:color w:val="000000"/>
              </w:rPr>
              <w:t>训练数量</w:t>
            </w:r>
          </w:p>
        </w:tc>
        <w:tc>
          <w:tcPr>
            <w:tcW w:type="dxa" w:w="31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1"/>
                <w:bCs w:val="1"/>
                <w:i w:val="0"/>
                <w:iCs w:val="0"/>
                <w:color w:val="000000"/>
              </w:rPr>
              <w:t>三折验证召回率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0</w:t>
            </w:r>
          </w:p>
        </w:tc>
        <w:tc>
          <w:tcPr>
            <w:tcW w:type="dxa" w:w="25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愤怒</w:t>
            </w:r>
          </w:p>
        </w:tc>
        <w:tc>
          <w:tcPr>
            <w:tcW w:type="dxa" w:w="25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3963</w:t>
            </w:r>
          </w:p>
        </w:tc>
        <w:tc>
          <w:tcPr>
            <w:tcW w:type="dxa" w:w="31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62.41%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1</w:t>
            </w:r>
          </w:p>
        </w:tc>
        <w:tc>
          <w:tcPr>
            <w:tcW w:type="dxa" w:w="25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恐惧</w:t>
            </w:r>
          </w:p>
        </w:tc>
        <w:tc>
          <w:tcPr>
            <w:tcW w:type="dxa" w:w="25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4097</w:t>
            </w:r>
          </w:p>
        </w:tc>
        <w:tc>
          <w:tcPr>
            <w:tcW w:type="dxa" w:w="31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52.80%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2</w:t>
            </w:r>
          </w:p>
        </w:tc>
        <w:tc>
          <w:tcPr>
            <w:tcW w:type="dxa" w:w="25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快乐</w:t>
            </w:r>
          </w:p>
        </w:tc>
        <w:tc>
          <w:tcPr>
            <w:tcW w:type="dxa" w:w="25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7192</w:t>
            </w:r>
          </w:p>
        </w:tc>
        <w:tc>
          <w:tcPr>
            <w:tcW w:type="dxa" w:w="31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90.67%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3</w:t>
            </w:r>
          </w:p>
        </w:tc>
        <w:tc>
          <w:tcPr>
            <w:tcW w:type="dxa" w:w="25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悲伤</w:t>
            </w:r>
          </w:p>
        </w:tc>
        <w:tc>
          <w:tcPr>
            <w:tcW w:type="dxa" w:w="25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4862</w:t>
            </w:r>
          </w:p>
        </w:tc>
        <w:tc>
          <w:tcPr>
            <w:tcW w:type="dxa" w:w="31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58.00%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4</w:t>
            </w:r>
          </w:p>
        </w:tc>
        <w:tc>
          <w:tcPr>
            <w:tcW w:type="dxa" w:w="25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惊讶</w:t>
            </w:r>
          </w:p>
        </w:tc>
        <w:tc>
          <w:tcPr>
            <w:tcW w:type="dxa" w:w="25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3202</w:t>
            </w:r>
          </w:p>
        </w:tc>
        <w:tc>
          <w:tcPr>
            <w:tcW w:type="dxa" w:w="31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78.24%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5</w:t>
            </w:r>
          </w:p>
        </w:tc>
        <w:tc>
          <w:tcPr>
            <w:tcW w:type="dxa" w:w="25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中性</w:t>
            </w:r>
          </w:p>
        </w:tc>
        <w:tc>
          <w:tcPr>
            <w:tcW w:type="dxa" w:w="25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4959</w:t>
            </w:r>
          </w:p>
        </w:tc>
        <w:tc>
          <w:tcPr>
            <w:tcW w:type="dxa" w:w="31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71.88%</w:t>
            </w:r>
          </w:p>
        </w:tc>
      </w:tr>
    </w:tbl>
    <w:p>
      <w:pPr>
        <w:spacing w:after="0"/>
      </w:pP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快乐类7192张最多、惊讶类3202张最少，存在类别不均衡。图像尺寸很小，口角、眉眼等细微线索难以分离，表情之间也存在歧义。训练时将灰度图复制为RGB三通道，以适配ImageNet预训练骨干，但该操作不产生新的颜色信息。</w:t>
      </w: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像素指纹审计发现1194张训练图像属于重复的额外副本，39个重复图像组存在标签冲突；有520张测试图像在训练集中出现完全相同像素。划分时用像素指纹作为group，同一重复组不得同时进入训练与验证，以减少重复图像造成的验证泄漏。</w:t>
      </w:r>
    </w:p>
    <w:p>
      <w:pPr>
        <w:pStyle w:val="Heading2"/>
      </w:pPr>
      <w:r>
        <w:rPr>
          <w:rFonts w:ascii="宋体" w:hAnsi="宋体" w:eastAsia="宋体" w:cs="宋体"/>
          <w:sz w:val="24"/>
          <w:szCs w:val="24"/>
          <w:b w:val="1"/>
          <w:bCs w:val="1"/>
          <w:i w:val="0"/>
          <w:iCs w:val="0"/>
          <w:color w:val="000000"/>
        </w:rPr>
        <w:t>2.2 分组验证设计</w:t>
      </w: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使用StratifiedGroupKFold构造五份固定分组，seed为2026。最初训练第0折，后续复用其预测再训练第1、2折。每个模型以其余四份作为训练集，当前折作为验证集；这是五折划分中的三个模型，不是把数据重新分成三份。由于分组约束，三个验证集大小分别为5641、5659、5660。</w:t>
      </w:r>
    </w:p>
    <w:p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br w:type="page"/>
      </w:r>
    </w:p>
    <w:p>
      <w:pPr>
        <w:pStyle w:val="Heading2"/>
      </w:pPr>
      <w:r>
        <w:rPr>
          <w:rFonts w:ascii="宋体" w:hAnsi="宋体" w:eastAsia="宋体" w:cs="宋体"/>
          <w:sz w:val="24"/>
          <w:szCs w:val="24"/>
          <w:b w:val="1"/>
          <w:bCs w:val="1"/>
          <w:i w:val="0"/>
          <w:iCs w:val="0"/>
          <w:color w:val="000000"/>
        </w:rPr>
        <w:t>2.3 模型结构与融合流程</w:t>
      </w: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最终运行方案使用convnext_tiny.fb_in22k_ft_in1k预训练权重，替换为六分类头。选择Tiny是基于训练可完成性与稳定性；早期Large与EVA-02方案、Base方案不属于最终三模型提交，不能将它们的设计写成已完成结果。[2]</w:t>
      </w:r>
    </w:p>
    <w:p>
      <w:pPr>
        <w:spacing w:after="40"/>
        <w:jc w:val="center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drawing>
          <wp:inline xmlns:a="http://schemas.openxmlformats.org/drawingml/2006/main" xmlns:pic="http://schemas.openxmlformats.org/drawingml/2006/picture">
            <wp:extent cx="5832000" cy="3285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e_arc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5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图2 1 表情识别数据划分与三模型融合流程</w:t>
      </w: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三个模型采用相同网络类型、不同的验证折和训练随机种子，测试概率等权平均。第0折复用已取得0.714的预测文件；运行前校验配置签名、训练图像及标签、冻结分折、测试ID和像素指纹，保证旧预测与新增模型的输入一致。</w:t>
      </w:r>
    </w:p>
    <w:p>
      <w:pPr>
        <w:jc w:val="center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pensemble = (pfold0 + pfold1 + pfold2) / 3</w:t>
      </w: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融合之后，对与训练图完全相同且训练标签唯一的测试图像使用已知训练标签。520张重叠测试图中，有511张满足无冲突条件并进入校正。0.714与0.728两次提交均包含该处理，因此两者对比是在同一后处理规则下进行。最终成绩包含模型预测与匹配校正的共同效果，不能解释为纯模型在全部全新图像上的准确率。</w:t>
      </w: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模型验证分数由每张样本对应的未训练该样本的模型输出拼接得到。不能把三个模型同时作用在这些验证样本上作为独立融合验证，因为其他折模型训练时可能见过该样本。</w:t>
      </w:r>
    </w:p>
    <w:p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br w:type="page"/>
      </w:r>
    </w:p>
    <w:p>
      <w:pPr>
        <w:pStyle w:val="Heading2"/>
      </w:pPr>
      <w:r>
        <w:rPr>
          <w:rFonts w:ascii="宋体" w:hAnsi="宋体" w:eastAsia="宋体" w:cs="宋体"/>
          <w:sz w:val="24"/>
          <w:szCs w:val="24"/>
          <w:b w:val="1"/>
          <w:bCs w:val="1"/>
          <w:i w:val="0"/>
          <w:iCs w:val="0"/>
          <w:color w:val="000000"/>
        </w:rPr>
        <w:t>2.4 实验参数与训练过程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7030"/>
      </w:tblGrid>
      <w:tr>
        <w:trPr>
          <w:tblHeader/>
          <w:cantSplit/>
        </w:trPr>
        <w:tc>
          <w:tcPr>
            <w:tcW w:type="dxa" w:w="23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1"/>
                <w:bCs w:val="1"/>
                <w:i w:val="0"/>
                <w:iCs w:val="0"/>
                <w:color w:val="000000"/>
              </w:rPr>
              <w:t>配置项</w:t>
            </w:r>
          </w:p>
        </w:tc>
        <w:tc>
          <w:tcPr>
            <w:tcW w:type="dxa" w:w="70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1"/>
                <w:bCs w:val="1"/>
                <w:i w:val="0"/>
                <w:iCs w:val="0"/>
                <w:color w:val="000000"/>
              </w:rPr>
              <w:t>实际运行配置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输入阶段</w:t>
            </w:r>
          </w:p>
        </w:tc>
        <w:tc>
          <w:tcPr>
            <w:tcW w:type="dxa" w:w="70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224×224最多20轮；288×288精调最多5轮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训练批量</w:t>
            </w:r>
          </w:p>
        </w:tc>
        <w:tc>
          <w:tcPr>
            <w:tcW w:type="dxa" w:w="70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微批量8；梯度累积8；通常有效批量64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优化器</w:t>
            </w:r>
          </w:p>
        </w:tc>
        <w:tc>
          <w:tcPr>
            <w:tcW w:type="dxa" w:w="70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AdamW；常规权重衰减0.05；偏置及低维参数不衰减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学习率</w:t>
            </w:r>
          </w:p>
        </w:tc>
        <w:tc>
          <w:tcPr>
            <w:tcW w:type="dxa" w:w="70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基础8×10⁻⁵；分类头5倍；精调基础为原值0.15倍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调度</w:t>
            </w:r>
          </w:p>
        </w:tc>
        <w:tc>
          <w:tcPr>
            <w:tcW w:type="dxa" w:w="70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前期warmup，随后余弦衰减至初始学习率的5%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正则</w:t>
            </w:r>
          </w:p>
        </w:tc>
        <w:tc>
          <w:tcPr>
            <w:tcW w:type="dxa" w:w="70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首阶段平滑0.05；精调平滑0.02；drop path 0.15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Mixup与EMA</w:t>
            </w:r>
          </w:p>
        </w:tc>
        <w:tc>
          <w:tcPr>
            <w:tcW w:type="dxa" w:w="70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首阶段50%概率Mixup，α=0.2；EMA decay=0.999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早停与运行</w:t>
            </w:r>
          </w:p>
        </w:tc>
        <w:tc>
          <w:tcPr>
            <w:tcW w:type="dxa" w:w="70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patience=6；单卡；workers=0；FP16混合精度</w:t>
            </w:r>
          </w:p>
        </w:tc>
      </w:tr>
    </w:tbl>
    <w:p>
      <w:pPr>
        <w:spacing w:after="0"/>
      </w:pP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训练增强针对紧致人脸框设计：随机裁剪保留85%至100%区域，轻微宽高比变化，水平翻转，±10度仿射旋转，2.5%平移，亮度与对比度扰动，以及概率0.10的小范围擦除。精调阶段裁剪下限提升到92%、旋转减至±5度，并关闭强增强。与植物任务不同，人脸不使用垂直翻转和大角度旋转，避免改变表情语义。</w:t>
      </w: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每轮分别计算原始权重与EMA权重的验证准确率，保留更优者。两个分辨率阶段分别存储候选，最终比较clean、flip和crop_flip预测方式；同分优先低成本方式。该机制可以在288精调效果不佳时回退到224阶段，不强制采用最后训练的权重。</w:t>
      </w:r>
    </w:p>
    <w:p>
      <w:pPr>
        <w:pStyle w:val="Heading3"/>
      </w:pPr>
      <w:r>
        <w:rPr>
          <w:rFonts w:ascii="宋体" w:hAnsi="宋体" w:eastAsia="宋体" w:cs="宋体"/>
          <w:sz w:val="24"/>
          <w:szCs w:val="24"/>
          <w:b w:val="1"/>
          <w:bCs w:val="1"/>
          <w:i w:val="0"/>
          <w:iCs w:val="0"/>
          <w:color w:val="000000"/>
        </w:rPr>
        <w:t>2.4.1 训练故障与恢复</w:t>
      </w: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早期运行曾在训练中发生内核退出，日志不足以确定唯一根因。稳定版固定单卡，关闭数据加载子进程，缓存48×48图像，记录CPU内存、GPU显存与磁盘空间，并约每10分钟保存轮内断点。断点包含模型、EMA、优化器、GradScaler、随机数状态、epoch与下一微批次位置，用于恢复训练。</w:t>
      </w: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这些修改改善训练可观测性和恢复能力，最终取得完整结果。它们属于工程处理，不构成准确率提升的独立证据；小规模本地流程测试分数也不作为正式实验成绩。</w:t>
      </w:r>
    </w:p>
    <w:p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br w:type="page"/>
      </w:r>
    </w:p>
    <w:p>
      <w:pPr>
        <w:pStyle w:val="Heading2"/>
      </w:pPr>
      <w:r>
        <w:rPr>
          <w:rFonts w:ascii="宋体" w:hAnsi="宋体" w:eastAsia="宋体" w:cs="宋体"/>
          <w:sz w:val="24"/>
          <w:szCs w:val="24"/>
          <w:b w:val="1"/>
          <w:bCs w:val="1"/>
          <w:i w:val="0"/>
          <w:iCs w:val="0"/>
          <w:color w:val="000000"/>
        </w:rPr>
        <w:t>2.5 验证结果与提交结果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04"/>
        <w:gridCol w:w="1474"/>
        <w:gridCol w:w="1417"/>
        <w:gridCol w:w="964"/>
        <w:gridCol w:w="1928"/>
        <w:gridCol w:w="2268"/>
      </w:tblGrid>
      <w:tr>
        <w:trPr>
          <w:tblHeader/>
          <w:cantSplit/>
        </w:trPr>
        <w:tc>
          <w:tcPr>
            <w:tcW w:type="dxa" w:w="1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1"/>
                <w:bCs w:val="1"/>
                <w:i w:val="0"/>
                <w:iCs w:val="0"/>
                <w:color w:val="000000"/>
              </w:rPr>
              <w:t>模型</w:t>
            </w:r>
          </w:p>
        </w:tc>
        <w:tc>
          <w:tcPr>
            <w:tcW w:type="dxa" w:w="147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1"/>
                <w:bCs w:val="1"/>
                <w:i w:val="0"/>
                <w:iCs w:val="0"/>
                <w:color w:val="000000"/>
              </w:rPr>
              <w:t>验证样本</w:t>
            </w:r>
          </w:p>
        </w:tc>
        <w:tc>
          <w:tcPr>
            <w:tcW w:type="dxa" w:w="141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1"/>
                <w:bCs w:val="1"/>
                <w:i w:val="0"/>
                <w:iCs w:val="0"/>
                <w:color w:val="000000"/>
              </w:rPr>
              <w:t>最佳轮次</w:t>
            </w:r>
          </w:p>
        </w:tc>
        <w:tc>
          <w:tcPr>
            <w:tcW w:type="dxa" w:w="9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1"/>
                <w:bCs w:val="1"/>
                <w:i w:val="0"/>
                <w:iCs w:val="0"/>
                <w:color w:val="000000"/>
              </w:rPr>
              <w:t>输入</w:t>
            </w:r>
          </w:p>
        </w:tc>
        <w:tc>
          <w:tcPr>
            <w:tcW w:type="dxa" w:w="19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1"/>
                <w:bCs w:val="1"/>
                <w:i w:val="0"/>
                <w:iCs w:val="0"/>
                <w:color w:val="000000"/>
              </w:rPr>
              <w:t>TTA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1"/>
                <w:bCs w:val="1"/>
                <w:i w:val="0"/>
                <w:iCs w:val="0"/>
                <w:color w:val="000000"/>
              </w:rPr>
              <w:t>验证准确率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第0折</w:t>
            </w:r>
          </w:p>
        </w:tc>
        <w:tc>
          <w:tcPr>
            <w:tcW w:type="dxa" w:w="147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5641</w:t>
            </w:r>
          </w:p>
        </w:tc>
        <w:tc>
          <w:tcPr>
            <w:tcW w:type="dxa" w:w="141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13</w:t>
            </w:r>
          </w:p>
        </w:tc>
        <w:tc>
          <w:tcPr>
            <w:tcW w:type="dxa" w:w="9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224</w:t>
            </w:r>
          </w:p>
        </w:tc>
        <w:tc>
          <w:tcPr>
            <w:tcW w:type="dxa" w:w="19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clean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70.3244%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第1折</w:t>
            </w:r>
          </w:p>
        </w:tc>
        <w:tc>
          <w:tcPr>
            <w:tcW w:type="dxa" w:w="147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5659</w:t>
            </w:r>
          </w:p>
        </w:tc>
        <w:tc>
          <w:tcPr>
            <w:tcW w:type="dxa" w:w="141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12</w:t>
            </w:r>
          </w:p>
        </w:tc>
        <w:tc>
          <w:tcPr>
            <w:tcW w:type="dxa" w:w="9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224</w:t>
            </w:r>
          </w:p>
        </w:tc>
        <w:tc>
          <w:tcPr>
            <w:tcW w:type="dxa" w:w="19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crop_flip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70.7192%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第2折</w:t>
            </w:r>
          </w:p>
        </w:tc>
        <w:tc>
          <w:tcPr>
            <w:tcW w:type="dxa" w:w="147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5660</w:t>
            </w:r>
          </w:p>
        </w:tc>
        <w:tc>
          <w:tcPr>
            <w:tcW w:type="dxa" w:w="141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15</w:t>
            </w:r>
          </w:p>
        </w:tc>
        <w:tc>
          <w:tcPr>
            <w:tcW w:type="dxa" w:w="9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224</w:t>
            </w:r>
          </w:p>
        </w:tc>
        <w:tc>
          <w:tcPr>
            <w:tcW w:type="dxa" w:w="19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flip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71.0601%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验证折拼接</w:t>
            </w:r>
          </w:p>
        </w:tc>
        <w:tc>
          <w:tcPr>
            <w:tcW w:type="dxa" w:w="147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16960</w:t>
            </w:r>
          </w:p>
        </w:tc>
        <w:tc>
          <w:tcPr>
            <w:tcW w:type="dxa" w:w="141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—</w:t>
            </w:r>
          </w:p>
        </w:tc>
        <w:tc>
          <w:tcPr>
            <w:tcW w:type="dxa" w:w="9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—</w:t>
            </w:r>
          </w:p>
        </w:tc>
        <w:tc>
          <w:tcPr>
            <w:tcW w:type="dxa" w:w="19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各折所选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70.7017%</w:t>
            </w:r>
          </w:p>
        </w:tc>
      </w:tr>
    </w:tbl>
    <w:p>
      <w:pPr>
        <w:spacing w:after="0"/>
      </w:pP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最佳轮次由保存的检查点读取，代码内部epoch从0计数，表中已转换为从1计数。三个模型最终均选中224阶段，288精调未成为最终最优候选。第1、2折分别选择裁剪翻转和水平翻转，第0折选择不增强，说明TTA收益取决于模型与样本，不能一律开启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1814"/>
        <w:gridCol w:w="2438"/>
      </w:tblGrid>
      <w:tr>
        <w:trPr>
          <w:tblHeader/>
          <w:cantSplit/>
        </w:trPr>
        <w:tc>
          <w:tcPr>
            <w:tcW w:type="dxa" w:w="51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1"/>
                <w:bCs w:val="1"/>
                <w:i w:val="0"/>
                <w:iCs w:val="0"/>
                <w:color w:val="000000"/>
              </w:rPr>
              <w:t>提交方案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1"/>
                <w:bCs w:val="1"/>
                <w:i w:val="0"/>
                <w:iCs w:val="0"/>
                <w:color w:val="000000"/>
              </w:rPr>
              <w:t>Kaggle分数</w:t>
            </w:r>
          </w:p>
        </w:tc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1"/>
                <w:bCs w:val="1"/>
                <w:i w:val="0"/>
                <w:iCs w:val="0"/>
                <w:color w:val="000000"/>
              </w:rPr>
              <w:t>变化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第0折单模型基线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0.714</w:t>
            </w:r>
          </w:p>
        </w:tc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基准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复用第0折并新增第1与第2折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0.728</w:t>
            </w:r>
          </w:p>
        </w:tc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80" w:after="80" w:line="264" w:lineRule="auto"/>
            </w:pPr>
            <w:r>
              <w:rPr>
                <w:rFonts w:ascii="宋体" w:hAnsi="宋体" w:eastAsia="宋体" w:cs="宋体"/>
                <w:sz w:val="24"/>
                <w:szCs w:val="24"/>
                <w:b w:val="0"/>
                <w:bCs w:val="0"/>
                <w:i w:val="0"/>
                <w:iCs w:val="0"/>
                <w:color w:val="000000"/>
              </w:rPr>
              <w:t>提高0.014，即1.4个百分点</w:t>
            </w:r>
          </w:p>
        </w:tc>
      </w:tr>
    </w:tbl>
    <w:p>
      <w:pPr>
        <w:spacing w:after="0"/>
      </w:pP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Kaggle分数来自已引用聊天中的实际提交记录，验证数值来自本地保存的validation_metrics.json及模型检查点。三折验证预测共16960张，覆盖全部训练数据约60%，拼接准确率70.7017%。它既不是完整五折OOF，也不是三个模型共同预测一个独立验证集的融合准确率。</w:t>
      </w:r>
    </w:p>
    <w:p>
      <w:pPr>
        <w:spacing w:after="40"/>
        <w:jc w:val="center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drawing>
          <wp:inline xmlns:a="http://schemas.openxmlformats.org/drawingml/2006/main" xmlns:pic="http://schemas.openxmlformats.org/drawingml/2006/picture">
            <wp:extent cx="4248000" cy="28825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e_confus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882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图2 2 三个验证折拼接预测的行归一化混淆矩阵</w:t>
      </w:r>
    </w:p>
    <w:p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br w:type="page"/>
      </w:r>
    </w:p>
    <w:p>
      <w:pPr>
        <w:pStyle w:val="Heading2"/>
      </w:pPr>
      <w:r>
        <w:rPr>
          <w:rFonts w:ascii="宋体" w:hAnsi="宋体" w:eastAsia="宋体" w:cs="宋体"/>
          <w:sz w:val="24"/>
          <w:szCs w:val="24"/>
          <w:b w:val="1"/>
          <w:bCs w:val="1"/>
          <w:i w:val="0"/>
          <w:iCs w:val="0"/>
          <w:color w:val="000000"/>
        </w:rPr>
        <w:t>2.6 错误分析与实验结论</w:t>
      </w: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快乐类召回率90.67%、惊讶类78.24%，高于恐惧类52.80%与悲伤类58.00%。三折验证中，悲伤被预测为中性479次，恐惧被预测为悲伤382次，悲伤被预测为恐惧363次，中性被预测为悲伤341次。该现象提示低分辨率下相近表情边界是主要困难，而非所有类别同等难学。</w:t>
      </w: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三个模型的验证准确率相差约0.74个百分点，表现较一致；公开提交从0.714提高至0.728，支持在当前配置下增加两个折模型的整体有效性。但没有独立验证集上的三模型融合评估，也没有去除完全相同图像校正的公开榜对照，因此不能分别量化融合与匹配校正各自贡献。</w:t>
      </w: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改进时优先在固定的独立验证集上比较减弱Mixup、关闭随机擦除、类别平衡采样等方案，观察恐惧和悲伤的召回率能否提升；这些方向尚未作为完成实验计入结果。继续追加不同结构模型或补齐其余两折也需要验证，不能保证再提升0.01。</w:t>
      </w:r>
    </w:p>
    <w:p>
      <w:pPr>
        <w:pStyle w:val="Heading2"/>
      </w:pPr>
      <w:r>
        <w:rPr>
          <w:rFonts w:ascii="宋体" w:hAnsi="宋体" w:eastAsia="宋体" w:cs="宋体"/>
          <w:sz w:val="24"/>
          <w:szCs w:val="24"/>
          <w:b w:val="1"/>
          <w:bCs w:val="1"/>
          <w:i w:val="0"/>
          <w:iCs w:val="0"/>
          <w:color w:val="000000"/>
        </w:rPr>
        <w:t>2.7 复现与代码组织</w:t>
      </w: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基线入口为task2/task2_2026task2_copy.py；三模型入口为task2/task2_ensemble3_copy.py。Kaggle挂载2026task2原始数据与task2_baseline_0714.zip解压内容，保持默认TRAIN_FOLDS为0,1,2和REUSE_DIR为auto，开启GPU与Internet后执行。程序自动复用第0折，再训练第1、2折。最终提交位于/kaggle/working/task2_ensemble3_output/submission.csv。</w:t>
      </w:r>
    </w:p>
    <w:p>
      <w:pPr>
        <w:ind w:firstLine="42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仓库保存了冻结分折、运行配置、数据审计、每折验证与测试预测概率、混淆矩阵和最终CSV，可据此重新计算验证与融合结果。大型模型权重、原始数据和虚拟环境不进入Git仓库。原始日志未完整保存时，仅记录检查点能够证实的最佳轮次，不推断全部训练时长。</w:t>
      </w:r>
    </w:p>
    <w:p>
      <w:pPr>
        <w:pStyle w:val="Heading2"/>
      </w:pPr>
      <w:r>
        <w:rPr>
          <w:rFonts w:ascii="宋体" w:hAnsi="宋体" w:eastAsia="宋体" w:cs="宋体"/>
          <w:sz w:val="24"/>
          <w:szCs w:val="24"/>
          <w:b w:val="1"/>
          <w:bCs w:val="1"/>
          <w:i w:val="0"/>
          <w:iCs w:val="0"/>
          <w:color w:val="000000"/>
        </w:rPr>
        <w:t>2.8 参考资料与证据</w:t>
      </w:r>
    </w:p>
    <w:p>
      <w:pPr>
        <w:spacing w:after="10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[1] timm ConvNeXt Small模型卡：https://huggingface.co/timm/convnext_small.fb_in22k_ft_in1k</w:t>
      </w:r>
    </w:p>
    <w:p>
      <w:pPr>
        <w:spacing w:after="10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[2] timm ConvNeXt Tiny模型卡：https://huggingface.co/timm/convnext_tiny.fb_in22k_ft_in1k</w:t>
      </w:r>
    </w:p>
    <w:p>
      <w:pPr>
        <w:spacing w:after="10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[3] ConvNeXt原始实现：https://github.com/facebookresearch/ConvNeXt</w:t>
      </w:r>
    </w:p>
    <w:p>
      <w:pPr>
        <w:spacing w:after="10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[4] 课设任务二：https://www.kaggle.com/competitions/2026task2</w:t>
      </w:r>
    </w:p>
    <w:p>
      <w:pPr>
        <w:spacing w:after="100"/>
      </w:pPr>
      <w:r>
        <w:rPr>
          <w:rFonts w:ascii="宋体" w:hAnsi="宋体" w:eastAsia="宋体" w:cs="宋体"/>
          <w:sz w:val="24"/>
          <w:szCs w:val="24"/>
          <w:b w:val="0"/>
          <w:bCs w:val="0"/>
          <w:i w:val="0"/>
          <w:iCs w:val="0"/>
          <w:color w:val="000000"/>
        </w:rPr>
        <w:t>[5] 实验一提交页面截图、task1/results内CSV和数据审计；实验二results内运行配置、分折清单、概率及验证指标；提交成绩来源登记于各实验evidence.md。</w:t>
      </w:r>
    </w:p>
    <w:sectPr w:rsidR="00FC693F" w:rsidRPr="0006063C" w:rsidSect="00034616">
      <w:footerReference w:type="default" r:id="rId9"/>
      <w:headerReference w:type="default" r:id="rId16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宋体"/>
        <w:sz w:val="24"/>
        <w:szCs w:val="24"/>
        <w:b w:val="0"/>
        <w:bCs w:val="0"/>
        <w:i w:val="0"/>
        <w:iCs w:val="0"/>
        <w:color w:val="000000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20" w:line="288" w:lineRule="auto"/>
    </w:pPr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20" w:line="288" w:lineRule="auto"/>
    </w:pPr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88" w:lineRule="auto"/>
      <w:outlineLvl w:val="0"/>
    </w:pPr>
    <w:rPr>
      <w:rFonts w:ascii="宋体" w:hAnsi="宋体" w:eastAsia="宋体" w:cs="宋体"/>
      <w:sz w:val="24"/>
      <w:szCs w:val="24"/>
      <w:b w:val="1"/>
      <w:bCs w:val="1"/>
      <w:i w:val="0"/>
      <w:iCs w:val="0"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8" w:lineRule="auto"/>
      <w:outlineLvl w:val="1"/>
    </w:pPr>
    <w:rPr>
      <w:rFonts w:ascii="宋体" w:hAnsi="宋体" w:eastAsia="宋体" w:cs="宋体"/>
      <w:sz w:val="24"/>
      <w:szCs w:val="24"/>
      <w:b w:val="1"/>
      <w:bCs w:val="1"/>
      <w:i w:val="0"/>
      <w:iCs w:val="0"/>
      <w:color w:val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88" w:lineRule="auto"/>
      <w:outlineLvl w:val="2"/>
    </w:pPr>
    <w:rPr>
      <w:rFonts w:ascii="宋体" w:hAnsi="宋体" w:eastAsia="宋体" w:cs="宋体"/>
      <w:sz w:val="24"/>
      <w:szCs w:val="24"/>
      <w:b w:val="1"/>
      <w:bCs w:val="1"/>
      <w:i w:val="0"/>
      <w:iCs w:val="0"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 w:line="288" w:lineRule="auto"/>
      <w:outlineLvl w:val="3"/>
    </w:pPr>
    <w:rPr>
      <w:rFonts w:ascii="宋体" w:hAnsi="宋体" w:eastAsia="宋体" w:cs="宋体"/>
      <w:sz w:val="24"/>
      <w:szCs w:val="24"/>
      <w:b w:val="1"/>
      <w:bCs w:val="1"/>
      <w:i w:val="0"/>
      <w:iCs w:val="0"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20" w:line="288" w:lineRule="auto"/>
      <w:outlineLvl w:val="4"/>
    </w:pPr>
    <w:rPr>
      <w:rFonts w:ascii="宋体" w:hAnsi="宋体" w:eastAsia="宋体" w:cs="宋体"/>
      <w:sz w:val="24"/>
      <w:szCs w:val="24"/>
      <w:b w:val="1"/>
      <w:bCs w:val="1"/>
      <w:i w:val="0"/>
      <w:iCs w:val="0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20" w:line="288" w:lineRule="auto"/>
      <w:outlineLvl w:val="5"/>
    </w:pPr>
    <w:rPr>
      <w:rFonts w:ascii="宋体" w:hAnsi="宋体" w:eastAsia="宋体" w:cs="宋体"/>
      <w:sz w:val="24"/>
      <w:szCs w:val="24"/>
      <w:b w:val="1"/>
      <w:bCs w:val="1"/>
      <w:i w:val="0"/>
      <w:iCs w:val="0"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20" w:line="288" w:lineRule="auto"/>
      <w:outlineLvl w:val="6"/>
    </w:pPr>
    <w:rPr>
      <w:rFonts w:ascii="宋体" w:hAnsi="宋体" w:eastAsia="宋体" w:cs="宋体"/>
      <w:sz w:val="24"/>
      <w:szCs w:val="24"/>
      <w:b w:val="1"/>
      <w:bCs w:val="1"/>
      <w:i w:val="0"/>
      <w:iCs w:val="0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20" w:line="288" w:lineRule="auto"/>
      <w:outlineLvl w:val="7"/>
    </w:pPr>
    <w:rPr>
      <w:rFonts w:ascii="宋体" w:hAnsi="宋体" w:eastAsia="宋体" w:cs="宋体"/>
      <w:sz w:val="24"/>
      <w:szCs w:val="24"/>
      <w:b w:val="1"/>
      <w:bCs w:val="1"/>
      <w:i w:val="0"/>
      <w:iCs w:val="0"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20" w:line="288" w:lineRule="auto"/>
      <w:outlineLvl w:val="8"/>
    </w:pPr>
    <w:rPr>
      <w:rFonts w:ascii="宋体" w:hAnsi="宋体" w:eastAsia="宋体" w:cs="宋体"/>
      <w:sz w:val="24"/>
      <w:szCs w:val="24"/>
      <w:b w:val="1"/>
      <w:bCs w:val="1"/>
      <w:i w:val="0"/>
      <w:iCs w:val="0"/>
      <w:color w:val="000000"/>
    </w:rPr>
  </w:style>
  <w:style w:type="character" w:default="1" w:styleId="DefaultParagraphFont">
    <w:name w:val="Default Paragraph Font"/>
    <w:uiPriority w:val="1"/>
    <w:semiHidden/>
    <w:unhideWhenUsed/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20" w:line="288" w:lineRule="auto"/>
    </w:pPr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宋体" w:hAnsi="宋体" w:eastAsia="宋体" w:cs="宋体"/>
      <w:sz w:val="24"/>
      <w:szCs w:val="24"/>
      <w:b w:val="1"/>
      <w:bCs w:val="1"/>
      <w:i w:val="0"/>
      <w:iCs w:val="0"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宋体" w:hAnsi="宋体" w:eastAsia="宋体" w:cs="宋体"/>
      <w:sz w:val="24"/>
      <w:szCs w:val="24"/>
      <w:b w:val="1"/>
      <w:bCs w:val="1"/>
      <w:i w:val="0"/>
      <w:iCs w:val="0"/>
      <w:color w:val="000000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宋体" w:hAnsi="宋体" w:eastAsia="宋体" w:cs="宋体"/>
      <w:sz w:val="24"/>
      <w:szCs w:val="24"/>
      <w:b w:val="1"/>
      <w:bCs w:val="1"/>
      <w:i w:val="0"/>
      <w:iCs w:val="0"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88" w:lineRule="auto" w:before="200"/>
      <w:contextualSpacing/>
    </w:pPr>
    <w:rPr>
      <w:rFonts w:ascii="宋体" w:hAnsi="宋体" w:eastAsia="宋体" w:cs="宋体"/>
      <w:kern w:val="28"/>
      <w:sz w:val="24"/>
      <w:szCs w:val="24"/>
      <w:b w:val="1"/>
      <w:bCs w:val="1"/>
      <w:i w:val="0"/>
      <w:iCs w:val="0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宋体" w:hAnsi="宋体" w:eastAsia="宋体" w:cs="宋体"/>
      <w:kern w:val="28"/>
      <w:sz w:val="24"/>
      <w:szCs w:val="24"/>
      <w:b w:val="0"/>
      <w:bCs w:val="0"/>
      <w:i w:val="0"/>
      <w:iCs w:val="0"/>
      <w:color w:val="00000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88" w:lineRule="auto" w:after="120"/>
    </w:pPr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paragraph" w:styleId="ListParagraph">
    <w:name w:val="List Paragraph"/>
    <w:basedOn w:val="Normal"/>
    <w:uiPriority w:val="34"/>
    <w:qFormat/>
    <w:rsid w:val="00FC693F"/>
    <w:pPr>
      <w:spacing w:line="288" w:lineRule="auto" w:after="120"/>
      <w:ind w:left="720"/>
      <w:contextualSpacing/>
    </w:pPr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88" w:lineRule="auto"/>
    </w:pPr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288" w:lineRule="auto"/>
    </w:pPr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88" w:lineRule="auto"/>
    </w:pPr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paragraph" w:styleId="List">
    <w:name w:val="List"/>
    <w:basedOn w:val="Normal"/>
    <w:uiPriority w:val="99"/>
    <w:unhideWhenUsed/>
    <w:rsid w:val="00AA1D8D"/>
    <w:pPr>
      <w:spacing w:line="288" w:lineRule="auto" w:after="120"/>
      <w:ind w:left="360" w:hanging="360"/>
      <w:contextualSpacing/>
    </w:pPr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paragraph" w:styleId="List2">
    <w:name w:val="List 2"/>
    <w:basedOn w:val="Normal"/>
    <w:uiPriority w:val="99"/>
    <w:unhideWhenUsed/>
    <w:rsid w:val="00326F90"/>
    <w:pPr>
      <w:spacing w:line="288" w:lineRule="auto" w:after="120"/>
      <w:ind w:left="720" w:hanging="360"/>
      <w:contextualSpacing/>
    </w:pPr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paragraph" w:styleId="List3">
    <w:name w:val="List 3"/>
    <w:basedOn w:val="Normal"/>
    <w:uiPriority w:val="99"/>
    <w:unhideWhenUsed/>
    <w:rsid w:val="00326F90"/>
    <w:pPr>
      <w:spacing w:line="288" w:lineRule="auto" w:after="120"/>
      <w:ind w:left="1080" w:hanging="360"/>
      <w:contextualSpacing/>
    </w:pPr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88" w:lineRule="auto" w:after="120"/>
      <w:contextualSpacing/>
    </w:pPr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88" w:lineRule="auto" w:after="120"/>
      <w:contextualSpacing/>
    </w:pPr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88" w:lineRule="auto" w:after="120"/>
      <w:contextualSpacing/>
    </w:pPr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88" w:lineRule="auto" w:after="120"/>
      <w:contextualSpacing/>
    </w:pPr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88" w:lineRule="auto" w:after="120"/>
      <w:contextualSpacing/>
    </w:pPr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88" w:lineRule="auto" w:after="120"/>
      <w:contextualSpacing/>
    </w:pPr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88" w:lineRule="auto"/>
      <w:ind w:left="360"/>
      <w:contextualSpacing/>
    </w:pPr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88" w:lineRule="auto"/>
      <w:ind w:left="720"/>
      <w:contextualSpacing/>
    </w:pPr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88" w:lineRule="auto"/>
      <w:ind w:left="1080"/>
      <w:contextualSpacing/>
    </w:pPr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88" w:lineRule="auto" w:after="120"/>
    </w:pPr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88" w:lineRule="auto" w:after="120"/>
    </w:pPr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宋体" w:hAnsi="宋体" w:eastAsia="宋体" w:cs="宋体"/>
      <w:sz w:val="24"/>
      <w:szCs w:val="24"/>
      <w:b w:val="1"/>
      <w:bCs w:val="1"/>
      <w:i w:val="0"/>
      <w:iCs w:val="0"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宋体" w:hAnsi="宋体" w:eastAsia="宋体" w:cs="宋体"/>
      <w:sz w:val="24"/>
      <w:szCs w:val="24"/>
      <w:b w:val="1"/>
      <w:bCs w:val="1"/>
      <w:i w:val="0"/>
      <w:iCs w:val="0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宋体" w:hAnsi="宋体" w:eastAsia="宋体" w:cs="宋体"/>
      <w:sz w:val="24"/>
      <w:szCs w:val="24"/>
      <w:b w:val="1"/>
      <w:bCs w:val="1"/>
      <w:i w:val="0"/>
      <w:iCs w:val="0"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宋体" w:hAnsi="宋体" w:eastAsia="宋体" w:cs="宋体"/>
      <w:sz w:val="24"/>
      <w:szCs w:val="24"/>
      <w:b w:val="1"/>
      <w:bCs w:val="1"/>
      <w:i w:val="0"/>
      <w:iCs w:val="0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宋体" w:hAnsi="宋体" w:eastAsia="宋体" w:cs="宋体"/>
      <w:sz w:val="24"/>
      <w:szCs w:val="24"/>
      <w:b w:val="1"/>
      <w:bCs w:val="1"/>
      <w:i w:val="0"/>
      <w:iCs w:val="0"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宋体" w:hAnsi="宋体" w:eastAsia="宋体" w:cs="宋体"/>
      <w:sz w:val="24"/>
      <w:szCs w:val="24"/>
      <w:b w:val="1"/>
      <w:bCs w:val="1"/>
      <w:i w:val="0"/>
      <w:iCs w:val="0"/>
      <w:color w:val="00000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8" w:lineRule="auto" w:after="120"/>
    </w:pPr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character" w:styleId="Strong">
    <w:name w:val="Strong"/>
    <w:basedOn w:val="DefaultParagraphFont"/>
    <w:uiPriority w:val="22"/>
    <w:qFormat/>
    <w:rsid w:val="00FC693F"/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120" w:line="288" w:lineRule="auto"/>
      <w:ind w:left="936" w:right="936"/>
    </w:pPr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宋体" w:hAnsi="宋体" w:eastAsia="宋体" w:cs="宋体"/>
      <w:smallCaps/>
      <w:u w:val="single"/>
      <w:sz w:val="24"/>
      <w:szCs w:val="24"/>
      <w:b w:val="0"/>
      <w:bCs w:val="0"/>
      <w:i w:val="0"/>
      <w:iCs w:val="0"/>
      <w:color w:val="000000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宋体" w:hAnsi="宋体" w:eastAsia="宋体" w:cs="宋体"/>
      <w:smallCaps/>
      <w:u w:val="single"/>
      <w:sz w:val="24"/>
      <w:szCs w:val="24"/>
      <w:b w:val="0"/>
      <w:bCs w:val="0"/>
      <w:i w:val="0"/>
      <w:iCs w:val="0"/>
      <w:color w:val="000000"/>
    </w:rPr>
  </w:style>
  <w:style w:type="character" w:styleId="BookTitle">
    <w:name w:val="Book Title"/>
    <w:basedOn w:val="DefaultParagraphFont"/>
    <w:uiPriority w:val="33"/>
    <w:qFormat/>
    <w:rsid w:val="00FC693F"/>
    <w:rPr>
      <w:rFonts w:ascii="宋体" w:hAnsi="宋体" w:eastAsia="宋体" w:cs="宋体"/>
      <w:smallCaps/>
      <w:sz w:val="24"/>
      <w:szCs w:val="24"/>
      <w:b w:val="0"/>
      <w:bCs w:val="0"/>
      <w:i w:val="0"/>
      <w:iCs w:val="0"/>
      <w:color w:val="00000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88" w:lineRule="auto" w:after="120"/>
      <w:outlineLvl w:val="9"/>
    </w:pPr>
    <w:rPr>
      <w:rFonts w:ascii="宋体" w:hAnsi="宋体" w:eastAsia="宋体" w:cs="宋体"/>
      <w:sz w:val="24"/>
      <w:szCs w:val="24"/>
      <w:b w:val="0"/>
      <w:bCs w:val="0"/>
      <w:i w:val="0"/>
      <w:iCs w:val="0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mmma-eey/machine-learning-course-project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机器学习课程设计前两章报告</dc:title>
  <dc:subject>植物幼苗分类与人脸表情识别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