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机器学习课程设计报告</w:t>
      </w:r>
    </w:p>
    <w:p>
      <w:pPr>
        <w:pStyle w:val="Subtitle"/>
      </w:pPr>
      <w:r>
        <w:t>植物幼苗分类与人脸表情识别</w:t>
      </w:r>
    </w:p>
    <w:p>
      <w:pPr>
        <w:ind w:firstLine="420"/>
      </w:pPr>
      <w:r>
        <w:t>本报告包含前两个实验。第一章研究小样本植物幼苗五分类，通过预训练模型迁移、数据增强、五折融合与测试时增强完成分类；第二章研究低分辨率人脸表情六分类，通过重复图像分组验证、迁移学习与三个模型的概率融合完成识别。</w:t>
      </w:r>
    </w:p>
    <w:p>
      <w:pPr>
        <w:ind w:firstLine="420"/>
      </w:pPr>
      <w:r>
        <w:t>植物分类已核实的最高提交分数为0.9259，对应ConvNeXt-Small 320方案；人脸表情分类由单模型0.714提高至三模型融合0.728。后续分析分别讨论模型验证结果、Kaggle提交结果及数据处理对结果解释的影响。</w:t>
      </w:r>
    </w:p>
    <w:p>
      <w:pPr>
        <w:pStyle w:val="Heading2"/>
      </w:pPr>
      <w:r>
        <w:t>报告内容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520"/>
      </w:tblGrid>
      <w:tr>
        <w:trPr>
          <w:tblHeader/>
        </w:trP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100" w:after="100" w:line="264" w:lineRule="auto"/>
            </w:pPr>
            <w:r>
              <w:rPr>
                <w:b/>
                <w:sz w:val="18"/>
              </w:rPr>
              <w:t>章节</w:t>
            </w:r>
          </w:p>
        </w:tc>
        <w:tc>
          <w:tcPr>
            <w:tcW w:type="dxa" w:w="65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100" w:after="100" w:line="264" w:lineRule="auto"/>
            </w:pP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第一章 植物幼苗分类</w:t>
            </w:r>
          </w:p>
        </w:tc>
        <w:tc>
          <w:tcPr>
            <w:tcW w:type="dxa" w:w="65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任务与数据、模型结构、训练方案、方法对照、结果分析与复现</w:t>
            </w:r>
          </w:p>
        </w:tc>
      </w:tr>
      <w:t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第二章 人脸表情识别</w:t>
            </w:r>
          </w:p>
        </w:tc>
        <w:tc>
          <w:tcPr>
            <w:tcW w:type="dxa" w:w="65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数据审计、分组划分、训练与恢复、集成验证、错误分析与复现</w:t>
            </w:r>
          </w:p>
        </w:tc>
      </w:tr>
    </w:tbl>
    <w:p>
      <w:pPr>
        <w:spacing w:after="0"/>
      </w:pPr>
    </w:p>
    <w:p>
      <w:pPr>
        <w:pStyle w:val="Heading2"/>
      </w:pPr>
      <w:r>
        <w:t>代码与实验材料</w:t>
      </w:r>
    </w:p>
    <w:p>
      <w:r>
        <w:t>GitHub私人仓库：</w:t>
      </w:r>
      <w:hyperlink r:id="rId10">
        <w:r>
          <w:t>https://github.com/mmma-eey/machine-learning-course-project</w:t>
        </w:r>
      </w:hyperlink>
    </w:p>
    <w:p>
      <w:pPr>
        <w:ind w:firstLine="420"/>
      </w:pPr>
      <w:r>
        <w:t>仓库以task1与task2分别存放两个实验的代码、配置、预测结果和证据；报告位于report目录。原始数据和大体积模型权重不随代码上传，数据挂载及运行入口见各实验README。私人仓库需向任课教师授予访问权限后才能审阅代码。</w:t>
      </w:r>
    </w:p>
    <w:p>
      <w:pPr>
        <w:ind w:firstLine="420"/>
      </w:pPr>
      <w:r>
        <w:t>报告日期 2026年10月21日。第三个实验仍在进行，本报告不包含其方法与结果。</w:t>
      </w:r>
    </w:p>
    <w:p>
      <w:r>
        <w:br w:type="page"/>
      </w:r>
    </w:p>
    <w:p>
      <w:pPr>
        <w:pStyle w:val="Heading1"/>
      </w:pPr>
      <w:r>
        <w:t>第一章 植物幼苗分类</w:t>
      </w:r>
    </w:p>
    <w:p>
      <w:pPr>
        <w:pStyle w:val="Heading2"/>
      </w:pPr>
      <w:r>
        <w:t>1.1 任务定义与数据组织</w:t>
      </w:r>
    </w:p>
    <w:p>
      <w:pPr>
        <w:ind w:firstLine="420"/>
      </w:pPr>
      <w:r>
        <w:t>本实验将RGB植物幼苗图像划分为Black-grass、Common wheat、Loose Silky-bent、Scentless Mayweed和Sugar beet五类。训练标签由图像所属文件夹给出，测试图像没有标签，输出采用ID与Category两列。图像中的背景、拍摄角度和幼苗大小存在变化，其中两类禾本科幼苗的细长叶片形态相近，需要同时利用整体叶形和局部纹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814"/>
        <w:gridCol w:w="1984"/>
        <w:gridCol w:w="2438"/>
      </w:tblGrid>
      <w:tr>
        <w:trPr>
          <w:tblHeader/>
        </w:trPr>
        <w:tc>
          <w:tcPr>
            <w:tcW w:type="dxa" w:w="3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100" w:after="100" w:line="264" w:lineRule="auto"/>
            </w:pPr>
            <w:r>
              <w:rPr>
                <w:b/>
                <w:sz w:val="18"/>
              </w:rPr>
              <w:t>类别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100" w:after="100" w:line="264" w:lineRule="auto"/>
            </w:pPr>
            <w:r>
              <w:rPr>
                <w:b/>
                <w:sz w:val="18"/>
              </w:rPr>
              <w:t>原始训练集</w:t>
            </w:r>
          </w:p>
        </w:tc>
        <w:tc>
          <w:tcPr>
            <w:tcW w:type="dxa" w:w="19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100" w:after="100" w:line="264" w:lineRule="auto"/>
            </w:pPr>
            <w:r>
              <w:rPr>
                <w:b/>
                <w:sz w:val="18"/>
              </w:rPr>
              <w:t>清洗扩充集</w:t>
            </w:r>
          </w:p>
        </w:tc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100" w:after="100" w:line="264" w:lineRule="auto"/>
            </w:pPr>
            <w:r>
              <w:rPr>
                <w:b/>
                <w:sz w:val="18"/>
              </w:rPr>
              <w:t>最佳320版预测</w:t>
            </w:r>
          </w:p>
        </w:tc>
      </w:tr>
      <w:tr>
        <w:tc>
          <w:tcPr>
            <w:tcW w:type="dxa" w:w="3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Black-grass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19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222</w:t>
            </w:r>
          </w:p>
        </w:tc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69</w:t>
            </w:r>
          </w:p>
        </w:tc>
      </w:tr>
      <w:tr>
        <w:tc>
          <w:tcPr>
            <w:tcW w:type="dxa" w:w="3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Common wheat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19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191</w:t>
            </w:r>
          </w:p>
        </w:tc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33</w:t>
            </w:r>
          </w:p>
        </w:tc>
      </w:tr>
      <w:tr>
        <w:tc>
          <w:tcPr>
            <w:tcW w:type="dxa" w:w="3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Loose Silky-bent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19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547</w:t>
            </w:r>
          </w:p>
        </w:tc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103</w:t>
            </w:r>
          </w:p>
        </w:tc>
      </w:tr>
      <w:tr>
        <w:tc>
          <w:tcPr>
            <w:tcW w:type="dxa" w:w="3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Scentless Mayweed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19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440</w:t>
            </w:r>
          </w:p>
        </w:tc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90</w:t>
            </w:r>
          </w:p>
        </w:tc>
      </w:tr>
      <w:tr>
        <w:tc>
          <w:tcPr>
            <w:tcW w:type="dxa" w:w="3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Sugar beet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19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313</w:t>
            </w:r>
          </w:p>
        </w:tc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83</w:t>
            </w:r>
          </w:p>
        </w:tc>
      </w:tr>
    </w:tbl>
    <w:p>
      <w:pPr>
        <w:spacing w:after="0"/>
      </w:pPr>
    </w:p>
    <w:p>
      <w:pPr>
        <w:ind w:firstLine="420"/>
      </w:pPr>
      <w:r>
        <w:t>原始训练集共500张，每类100张；测试集共378张。最佳提交使用原始500张训练数据。另有1713张清洗扩充训练数据，用于后续384分辨率对照。对当前清洗目录与测试集进行RGB尺寸及像素哈希复核，未发现完全相同的图像；该检查不排除近重复图像，也不能独立证明外部数据处理的全部历史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18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t_examp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18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1 原始训练集中五类植物示例</w:t>
      </w:r>
    </w:p>
    <w:p>
      <w:pPr>
        <w:pStyle w:val="Heading2"/>
      </w:pPr>
      <w:r>
        <w:t>1.2 评价指标</w:t>
      </w:r>
    </w:p>
    <w:p>
      <w:pPr>
        <w:ind w:firstLine="420"/>
      </w:pPr>
      <w:r>
        <w:t>分类准确率衡量预测类别与真实标签一致的比例；宏平均F1先计算每个类别的F1再等权平均，可减少多数类对评价的支配。代码输出验证准确率、宏平均F1和混淆矩阵。报告中Kaggle结果采用提交页面显示的Score，不将其未经确认地替换为本地Accuracy或宏平均F1。</w:t>
      </w:r>
    </w:p>
    <w:p>
      <w:pPr>
        <w:jc w:val="center"/>
      </w:pPr>
      <w:r>
        <w:t>Accuracy = 正确预测数 / 样本总数     Macro F1 = 各类别F1之和 / 5</w:t>
      </w:r>
    </w:p>
    <w:p>
      <w:r>
        <w:br w:type="page"/>
      </w:r>
    </w:p>
    <w:p>
      <w:pPr>
        <w:pStyle w:val="Heading2"/>
      </w:pPr>
      <w:r>
        <w:t>1.3 模型结构与迁移学习</w:t>
      </w:r>
    </w:p>
    <w:p>
      <w:pPr>
        <w:ind w:firstLine="420"/>
      </w:pPr>
      <w:r>
        <w:t>最佳提交文件为submission_convnext_small.csv，对应kaggle_convnext_small.py。骨干为convnext_small.fb_in22k_ft_in1k，采用ImageNet-22K预训练并在ImageNet-1K微调的公开权重，再将输出头替换为五分类头。使用预训练特征能够降低500张图像从零学习纹理和形态特征的难度。[1]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275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t_ar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75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2 ConvNeXt Small 320最佳方案结构与融合流程</w:t>
      </w:r>
    </w:p>
    <w:p>
      <w:pPr>
        <w:ind w:firstLine="420"/>
      </w:pPr>
      <w:r>
        <w:t>网络先提取多尺度视觉特征，再经全局池化和线性分类头输出五类logit，Softmax将其转换为类别概率。每折独立训练一个模型，测试时先平均同一模型的多个视角概率，再平均五个模型的概率，最后取最大概率类别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6860"/>
      </w:tblGrid>
      <w:tr>
        <w:trPr>
          <w:tblHeader/>
        </w:trPr>
        <w:tc>
          <w:tcPr>
            <w:tcW w:type="dxa" w:w="24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100" w:after="100" w:line="264" w:lineRule="auto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68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100" w:after="100" w:line="264" w:lineRule="auto"/>
            </w:pPr>
            <w:r>
              <w:rPr>
                <w:b/>
                <w:sz w:val="18"/>
              </w:rPr>
              <w:t>最佳320方案</w:t>
            </w:r>
          </w:p>
        </w:tc>
      </w:tr>
      <w:tr>
        <w:tc>
          <w:tcPr>
            <w:tcW w:type="dxa" w:w="24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输入与批量</w:t>
            </w:r>
          </w:p>
        </w:tc>
        <w:tc>
          <w:tcPr>
            <w:tcW w:type="dxa" w:w="68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320×320；batch size 16</w:t>
            </w:r>
          </w:p>
        </w:tc>
      </w:tr>
      <w:tr>
        <w:tc>
          <w:tcPr>
            <w:tcW w:type="dxa" w:w="24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划分</w:t>
            </w:r>
          </w:p>
        </w:tc>
        <w:tc>
          <w:tcPr>
            <w:tcW w:type="dxa" w:w="68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StratifiedKFold，5折，shuffle=True，seed=42</w:t>
            </w:r>
          </w:p>
        </w:tc>
      </w:tr>
      <w:tr>
        <w:tc>
          <w:tcPr>
            <w:tcW w:type="dxa" w:w="24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训练阶段</w:t>
            </w:r>
          </w:p>
        </w:tc>
        <w:tc>
          <w:tcPr>
            <w:tcW w:type="dxa" w:w="68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冻结骨干训练头3轮；全量微调16轮</w:t>
            </w:r>
          </w:p>
        </w:tc>
      </w:tr>
      <w:tr>
        <w:tc>
          <w:tcPr>
            <w:tcW w:type="dxa" w:w="24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学习率</w:t>
            </w:r>
          </w:p>
        </w:tc>
        <w:tc>
          <w:tcPr>
            <w:tcW w:type="dxa" w:w="68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头部8×10⁻⁴；全量微调时头部4×10⁻⁴、骨干1.5×10⁻⁵</w:t>
            </w:r>
          </w:p>
        </w:tc>
      </w:tr>
      <w:tr>
        <w:tc>
          <w:tcPr>
            <w:tcW w:type="dxa" w:w="24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优化与正则</w:t>
            </w:r>
          </w:p>
        </w:tc>
        <w:tc>
          <w:tcPr>
            <w:tcW w:type="dxa" w:w="68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AdamW；weight decay 0.01；标签平滑0.08</w:t>
            </w:r>
          </w:p>
        </w:tc>
      </w:tr>
      <w:tr>
        <w:tc>
          <w:tcPr>
            <w:tcW w:type="dxa" w:w="24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混合增强与EMA</w:t>
            </w:r>
          </w:p>
        </w:tc>
        <w:tc>
          <w:tcPr>
            <w:tcW w:type="dxa" w:w="68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Mixup α=0.35；CutMix α=0.8；EMA decay=0.995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1.4 实验方案与训练过程</w:t>
      </w:r>
    </w:p>
    <w:p>
      <w:pPr>
        <w:ind w:firstLine="420"/>
      </w:pPr>
      <w:r>
        <w:t>使用分层五折划分保持各类别比例一致。每折用400张图像训练、100张图像验证，五折验证预测覆盖全部500张训练图像。原始320版按类别分层，但未按像素重复组划分；若数据中存在同源或重复图像，普通分层划分可能给出偏乐观的验证估计。</w:t>
      </w:r>
    </w:p>
    <w:p>
      <w:pPr>
        <w:ind w:firstLine="420"/>
      </w:pPr>
      <w:r>
        <w:t>第一阶段冻结预训练骨干，仅更新分类头，避免随机初始化的分类头对预训练特征产生过大扰动。第二阶段解冻全网络，采用不同的头部与骨干学习率，以及余弦退火调度。每个batch更新EMA，完成训练后使用最终EMA模型推理。该版本并未逐轮选择最佳验证检查点，因此不能把某个未经记录的轮次写为最佳轮次。</w:t>
      </w:r>
    </w:p>
    <w:p>
      <w:pPr>
        <w:pStyle w:val="Heading3"/>
      </w:pPr>
      <w:r>
        <w:t>1.4.1 数据增强与损失函数</w:t>
      </w:r>
    </w:p>
    <w:p>
      <w:pPr>
        <w:ind w:firstLine="420"/>
      </w:pPr>
      <w:r>
        <w:t>训练增强包括随机裁剪缩放、水平翻转、概率0.25的垂直翻转、±25度旋转、颜色扰动及概率0.25的随机擦除。图像按ImageNet均值与标准差归一化。植物方向没有固定上下约束，翻转与旋转可增加姿态变化；颜色扰动需要控制幅度，避免破坏具有区分类别作用的颜色信息。</w:t>
      </w:r>
    </w:p>
    <w:p>
      <w:pPr>
        <w:ind w:firstLine="420"/>
      </w:pPr>
      <w:r>
        <w:t>全量微调阶段以0.5概率进行混合增强，其中Mixup与CutMix等概率选择。Mixup对两张图像线性插值，CutMix交换局部区域并按实际替换面积混合监督信号。损失为两组标签的平滑交叉熵加权和，类别权重按训练类别频数计算；原始数据均衡，因此五个类别的权重相同。</w:t>
      </w:r>
    </w:p>
    <w:p>
      <w:pPr>
        <w:jc w:val="center"/>
      </w:pPr>
      <w:r>
        <w:t>Lmix = λ Lsmooth(z, ya) + (1−λ) Lsmooth(z, yb)</w:t>
      </w:r>
    </w:p>
    <w:p>
      <w:pPr>
        <w:pStyle w:val="Heading3"/>
      </w:pPr>
      <w:r>
        <w:t>1.4.2 测试时增强与融合</w:t>
      </w:r>
    </w:p>
    <w:p>
      <w:pPr>
        <w:ind w:firstLine="420"/>
      </w:pPr>
      <w:r>
        <w:t>实际tta_transform_list枚举两个裁剪尺度1.0和1.08，以及原图或水平翻转，共4个视角。源文件开头虽然写有“8视角”，实际执行逻辑为4视角，报告按可执行代码记载。所有折使用相同测试ID顺序，先按视角平均概率，再按五个模型等权平均，输出最终类别。</w:t>
      </w:r>
    </w:p>
    <w:p>
      <w:pPr>
        <w:jc w:val="center"/>
      </w:pPr>
      <w:r>
        <w:t>p(y|x) = Σfold Σview p(y|Tview(x), θfold) / (5×4)</w:t>
      </w:r>
    </w:p>
    <w:p>
      <w:pPr>
        <w:ind w:firstLine="420"/>
      </w:pPr>
      <w:r>
        <w:t>这一过程能够降低单次数据划分和单个视角造成的预测波动，但不能保证每个模型或每个视角都带来正收益，仍应结合独立验证和最终提交结果判断。</w:t>
      </w:r>
    </w:p>
    <w:p>
      <w:r>
        <w:br w:type="page"/>
      </w:r>
    </w:p>
    <w:p>
      <w:pPr>
        <w:pStyle w:val="Heading2"/>
      </w:pPr>
      <w:r>
        <w:t>1.5 实验结果与方法对照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4377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t_scor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43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3 已提供Kaggle提交截图中的各版本分数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92"/>
        <w:gridCol w:w="1814"/>
        <w:gridCol w:w="2948"/>
      </w:tblGrid>
      <w:tr>
        <w:trPr>
          <w:tblHeader/>
        </w:trPr>
        <w:tc>
          <w:tcPr>
            <w:tcW w:type="dxa" w:w="4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100" w:after="100" w:line="264" w:lineRule="auto"/>
            </w:pPr>
            <w:r>
              <w:rPr>
                <w:b/>
                <w:sz w:val="18"/>
              </w:rPr>
              <w:t>提交文件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100" w:after="100" w:line="264" w:lineRule="auto"/>
            </w:pPr>
            <w:r>
              <w:rPr>
                <w:b/>
                <w:sz w:val="18"/>
              </w:rPr>
              <w:t>页面分数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100" w:after="100" w:line="264" w:lineRule="auto"/>
            </w:pPr>
            <w:r>
              <w:rPr>
                <w:b/>
                <w:sz w:val="18"/>
              </w:rPr>
              <w:t>与最佳方案比较</w:t>
            </w:r>
          </w:p>
        </w:tc>
      </w:tr>
      <w:tr>
        <w:tc>
          <w:tcPr>
            <w:tcW w:type="dxa" w:w="4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submission_convnext_small.csv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0.9259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最佳</w:t>
            </w:r>
          </w:p>
        </w:tc>
      </w:tr>
      <w:tr>
        <w:tc>
          <w:tcPr>
            <w:tcW w:type="dxa" w:w="4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submission_pseudo.csv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0.9232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低0.0027</w:t>
            </w:r>
          </w:p>
        </w:tc>
      </w:tr>
      <w:tr>
        <w:tc>
          <w:tcPr>
            <w:tcW w:type="dxa" w:w="4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submission_clean_384.csv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0.9206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低0.0053</w:t>
            </w:r>
          </w:p>
        </w:tc>
      </w:tr>
      <w:tr>
        <w:tc>
          <w:tcPr>
            <w:tcW w:type="dxa" w:w="4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submission_efficientnet_s.csv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0.8201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低0.1058</w:t>
            </w:r>
          </w:p>
        </w:tc>
      </w:tr>
      <w:tr>
        <w:tc>
          <w:tcPr>
            <w:tcW w:type="dxa" w:w="4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submission.csv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0.8174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低0.1085</w:t>
            </w:r>
          </w:p>
        </w:tc>
      </w:tr>
      <w:tr>
        <w:tc>
          <w:tcPr>
            <w:tcW w:type="dxa" w:w="4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submission_ensemble.csv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0.8015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低0.1244</w:t>
            </w:r>
          </w:p>
        </w:tc>
      </w:tr>
      <w:tr>
        <w:tc>
          <w:tcPr>
            <w:tcW w:type="dxa" w:w="4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submission_advanced_ensemble.csv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0.7857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低0.1402</w:t>
            </w:r>
          </w:p>
        </w:tc>
      </w:tr>
    </w:tbl>
    <w:p>
      <w:pPr>
        <w:spacing w:after="0"/>
      </w:pPr>
    </w:p>
    <w:p>
      <w:pPr>
        <w:ind w:firstLine="420"/>
      </w:pPr>
      <w:r>
        <w:t>ConvNeXt-Small 320版取得最高分0.9259，比EfficientNetV2-S版提高0.1058。由于这些版本同时改变了骨干、增强、训练轮数和融合方式，该差异是整套方案的效果，不能直接归因于某一个结构模块。</w:t>
      </w:r>
    </w:p>
    <w:p>
      <w:pPr>
        <w:ind w:firstLine="420"/>
      </w:pPr>
      <w:r>
        <w:t>伪标签版本使用主模型预测测试图像并筛选高置信样本参与自训练，代码阈值为0.90，提交分数为0.9232；清洗扩充集384版本分数为0.9206。两者均未超过320版，因此本实验保留320版作为最佳方案。伪标签可能传播高置信错误，外部数据扩充可能改变类别比例和数据分布；这些是解释方向，而非已完成消融验证的结论。</w:t>
      </w:r>
    </w:p>
    <w:p>
      <w:r>
        <w:br w:type="page"/>
      </w:r>
    </w:p>
    <w:p>
      <w:pPr>
        <w:pStyle w:val="Heading2"/>
      </w:pPr>
      <w:r>
        <w:t>1.6 结果分析与复现说明</w:t>
      </w:r>
    </w:p>
    <w:p>
      <w:pPr>
        <w:ind w:firstLine="420"/>
      </w:pPr>
      <w:r>
        <w:t>当前384版对测试图像的预测分布为Black-grass 36张、Common wheat 35张、Loose Silky-bent 136张、Scentless Mayweed 90张、Sugar beet 81张，与320版共有38张预测不同，占378张测试图像的10.05%。清洗训练集中Loose Silky-bent有547张、Black-grass有222张，类别不均衡值得关注；但没有测试真值时，不能依据预测比例判定哪38张错误，也不能认为测试类别应当均衡。</w:t>
      </w:r>
    </w:p>
    <w:p>
      <w:pPr>
        <w:ind w:firstLine="420"/>
      </w:pPr>
      <w:r>
        <w:t>清洗384版实际采用十折分层划分的前五折，每个模型训练90%、验证10%，验证预测约覆盖一半数据；这与最佳320版完整五折交叉验证不同。二分类仲裁器及相关合并脚本保留为历史探索代码，未将其作为0.9259提交的生成方法。</w:t>
      </w:r>
    </w:p>
    <w:p>
      <w:pPr>
        <w:pStyle w:val="Heading3"/>
      </w:pPr>
      <w:r>
        <w:t>1.6.1 可重复运行步骤</w:t>
      </w:r>
    </w:p>
    <w:p>
      <w:pPr>
        <w:ind w:firstLine="420"/>
      </w:pPr>
      <w:r>
        <w:t>在Kaggle挂载包含train与test的原始课设数据，开启GPU与Internet，在Code单元格执行task1/train_convnext_small.py。程序自动搜索数据根目录，也支持设置PLANT_DATA_ROOT。运行完成后生成/kaggle/working/submission_convnext_small.csv。类别顺序由ImageFolder取得，导出时恢复为类别名称。</w:t>
      </w:r>
    </w:p>
    <w:p>
      <w:pPr>
        <w:ind w:firstLine="420"/>
      </w:pPr>
      <w:r>
        <w:t>清洗384对照使用task1/train_clean_384.py，并同时挂载清洗训练集与课设测试集。该脚本自动选择符合五个类别目录且图像较多的训练集，因此复现时必须核对启动打印的数据路径，避免无意改变训练来源。历史脚本保留在task1/legacy内，部分本地分析脚本引用旧电脑路径，需要按README设置实际输入。</w:t>
      </w:r>
    </w:p>
    <w:p>
      <w:pPr>
        <w:pStyle w:val="Heading3"/>
      </w:pPr>
      <w:r>
        <w:t>1.6.2 局限与改进</w:t>
      </w:r>
    </w:p>
    <w:p>
      <w:pPr>
        <w:ind w:firstLine="420"/>
      </w:pPr>
      <w:r>
        <w:t>本次可核实材料包括代码、最终CSV和提交截图，尚未保留最佳320版的完整逐轮日志、五折验证数值与全部模型权重。因此不补绘训练损失曲线，也不报告无法验证的OOF分数。下一轮应保存每折数据清单、最佳或最终模型、训练历史与预测概率，才能在统一划分上完成增强、EMA和TTA的独立消融。</w:t>
      </w:r>
    </w:p>
    <w:p>
      <w:pPr>
        <w:ind w:firstLine="420"/>
      </w:pPr>
      <w:r>
        <w:t>本实验说明，在小样本条件下，预训练迁移配合合适的数据增强和多折融合可以得到有效结果；增加数据、提高分辨率和伪标签自训练仍需对照验证。实验结论以已核实的0.9259提交为准。</w:t>
      </w:r>
    </w:p>
    <w:p>
      <w:r>
        <w:br w:type="page"/>
      </w:r>
    </w:p>
    <w:p>
      <w:pPr>
        <w:pStyle w:val="Heading1"/>
      </w:pPr>
      <w:r>
        <w:t>第二章 人脸表情识别</w:t>
      </w:r>
    </w:p>
    <w:p>
      <w:pPr>
        <w:pStyle w:val="Heading2"/>
      </w:pPr>
      <w:r>
        <w:t>2.1 任务定义与数据审计</w:t>
      </w:r>
    </w:p>
    <w:p>
      <w:pPr>
        <w:ind w:firstLine="420"/>
      </w:pPr>
      <w:r>
        <w:t>本实验根据48×48灰度人脸图像预测六类表情：0愤怒、1恐惧、2快乐、3悲伤、4惊讶、5中性。训练标签来自类别文件夹，测试预测按照提交模板的ImageID顺序导出Emotion。训练集28275张、测试集7065张，共35340张图像，评价主要采用分类准确率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2551"/>
        <w:gridCol w:w="2551"/>
        <w:gridCol w:w="3118"/>
      </w:tblGrid>
      <w:tr>
        <w:trPr>
          <w:tblHeader/>
        </w:trPr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100" w:after="100" w:line="264" w:lineRule="auto"/>
            </w:pPr>
            <w:r>
              <w:rPr>
                <w:b/>
                <w:sz w:val="18"/>
              </w:rPr>
              <w:t>编码</w:t>
            </w:r>
          </w:p>
        </w:tc>
        <w:tc>
          <w:tcPr>
            <w:tcW w:type="dxa" w:w="25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100" w:after="100" w:line="264" w:lineRule="auto"/>
            </w:pPr>
            <w:r>
              <w:rPr>
                <w:b/>
                <w:sz w:val="18"/>
              </w:rPr>
              <w:t>类别</w:t>
            </w:r>
          </w:p>
        </w:tc>
        <w:tc>
          <w:tcPr>
            <w:tcW w:type="dxa" w:w="25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100" w:after="100" w:line="264" w:lineRule="auto"/>
            </w:pPr>
            <w:r>
              <w:rPr>
                <w:b/>
                <w:sz w:val="18"/>
              </w:rPr>
              <w:t>训练数量</w:t>
            </w:r>
          </w:p>
        </w:tc>
        <w:tc>
          <w:tcPr>
            <w:tcW w:type="dxa" w:w="3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100" w:after="100" w:line="264" w:lineRule="auto"/>
            </w:pPr>
            <w:r>
              <w:rPr>
                <w:b/>
                <w:sz w:val="18"/>
              </w:rPr>
              <w:t>三折验证召回率</w:t>
            </w:r>
          </w:p>
        </w:tc>
      </w:tr>
      <w:tr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5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愤怒</w:t>
            </w:r>
          </w:p>
        </w:tc>
        <w:tc>
          <w:tcPr>
            <w:tcW w:type="dxa" w:w="25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3963</w:t>
            </w:r>
          </w:p>
        </w:tc>
        <w:tc>
          <w:tcPr>
            <w:tcW w:type="dxa" w:w="3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62.41%</w:t>
            </w:r>
          </w:p>
        </w:tc>
      </w:tr>
      <w:tr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恐惧</w:t>
            </w:r>
          </w:p>
        </w:tc>
        <w:tc>
          <w:tcPr>
            <w:tcW w:type="dxa" w:w="25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4097</w:t>
            </w:r>
          </w:p>
        </w:tc>
        <w:tc>
          <w:tcPr>
            <w:tcW w:type="dxa" w:w="3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52.80%</w:t>
            </w:r>
          </w:p>
        </w:tc>
      </w:tr>
      <w:tr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快乐</w:t>
            </w:r>
          </w:p>
        </w:tc>
        <w:tc>
          <w:tcPr>
            <w:tcW w:type="dxa" w:w="25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7192</w:t>
            </w:r>
          </w:p>
        </w:tc>
        <w:tc>
          <w:tcPr>
            <w:tcW w:type="dxa" w:w="3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90.67%</w:t>
            </w:r>
          </w:p>
        </w:tc>
      </w:tr>
      <w:tr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悲伤</w:t>
            </w:r>
          </w:p>
        </w:tc>
        <w:tc>
          <w:tcPr>
            <w:tcW w:type="dxa" w:w="25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4862</w:t>
            </w:r>
          </w:p>
        </w:tc>
        <w:tc>
          <w:tcPr>
            <w:tcW w:type="dxa" w:w="3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58.00%</w:t>
            </w:r>
          </w:p>
        </w:tc>
      </w:tr>
      <w:tr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惊讶</w:t>
            </w:r>
          </w:p>
        </w:tc>
        <w:tc>
          <w:tcPr>
            <w:tcW w:type="dxa" w:w="25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3202</w:t>
            </w:r>
          </w:p>
        </w:tc>
        <w:tc>
          <w:tcPr>
            <w:tcW w:type="dxa" w:w="3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78.24%</w:t>
            </w:r>
          </w:p>
        </w:tc>
      </w:tr>
      <w:tr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中性</w:t>
            </w:r>
          </w:p>
        </w:tc>
        <w:tc>
          <w:tcPr>
            <w:tcW w:type="dxa" w:w="25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4959</w:t>
            </w:r>
          </w:p>
        </w:tc>
        <w:tc>
          <w:tcPr>
            <w:tcW w:type="dxa" w:w="3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71.88%</w:t>
            </w:r>
          </w:p>
        </w:tc>
      </w:tr>
    </w:tbl>
    <w:p>
      <w:pPr>
        <w:spacing w:after="0"/>
      </w:pPr>
    </w:p>
    <w:p>
      <w:pPr>
        <w:ind w:firstLine="420"/>
      </w:pPr>
      <w:r>
        <w:t>快乐类7192张最多、惊讶类3202张最少，存在类别不均衡。图像尺寸很小，口角、眉眼等细微线索难以分离，表情之间也存在歧义。训练时将灰度图复制为RGB三通道，以适配ImageNet预训练骨干，但该操作不产生新的颜色信息。</w:t>
      </w:r>
    </w:p>
    <w:p>
      <w:pPr>
        <w:ind w:firstLine="420"/>
      </w:pPr>
      <w:r>
        <w:t>像素指纹审计发现1194张训练图像属于重复的额外副本，39个重复图像组存在标签冲突；有520张测试图像在训练集中出现完全相同像素。划分时用像素指纹作为group，同一重复组不得同时进入训练与验证，以减少重复图像造成的验证泄漏。</w:t>
      </w:r>
    </w:p>
    <w:p>
      <w:pPr>
        <w:pStyle w:val="Heading2"/>
      </w:pPr>
      <w:r>
        <w:t>2.2 分组验证设计</w:t>
      </w:r>
    </w:p>
    <w:p>
      <w:pPr>
        <w:ind w:firstLine="420"/>
      </w:pPr>
      <w:r>
        <w:t>使用StratifiedGroupKFold构造五份固定分组，seed为2026。最初训练第0折，后续复用其预测再训练第1、2折。每个模型以其余四份作为训练集，当前折作为验证集；这是五折划分中的三个模型，不是把数据重新分成三份。由于分组约束，三个验证集大小分别为5641、5659、5660。</w:t>
      </w:r>
    </w:p>
    <w:p>
      <w:r>
        <w:br w:type="page"/>
      </w:r>
    </w:p>
    <w:p>
      <w:pPr>
        <w:pStyle w:val="Heading2"/>
      </w:pPr>
      <w:r>
        <w:t>2.3 模型结构与融合流程</w:t>
      </w:r>
    </w:p>
    <w:p>
      <w:pPr>
        <w:ind w:firstLine="420"/>
      </w:pPr>
      <w:r>
        <w:t>最终运行方案使用convnext_tiny.fb_in22k_ft_in1k预训练权重，替换为六分类头。选择Tiny是基于训练可完成性与稳定性；早期Large与EVA-02方案、Base方案不属于最终三模型提交，不能将它们的设计写成已完成结果。[2]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285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e_ar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5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1 表情识别数据划分与三模型融合流程</w:t>
      </w:r>
    </w:p>
    <w:p>
      <w:pPr>
        <w:ind w:firstLine="420"/>
      </w:pPr>
      <w:r>
        <w:t>三个模型采用相同网络类型、不同的验证折和训练随机种子，测试概率等权平均。第0折复用已取得0.714的预测文件；运行前校验配置签名、训练图像及标签、冻结分折、测试ID和像素指纹，保证旧预测与新增模型的输入一致。</w:t>
      </w:r>
    </w:p>
    <w:p>
      <w:pPr>
        <w:jc w:val="center"/>
      </w:pPr>
      <w:r>
        <w:t>pensemble = (pfold0 + pfold1 + pfold2) / 3</w:t>
      </w:r>
    </w:p>
    <w:p>
      <w:pPr>
        <w:ind w:firstLine="420"/>
      </w:pPr>
      <w:r>
        <w:t>融合之后，对与训练图完全相同且训练标签唯一的测试图像使用已知训练标签。520张重叠测试图中，有511张满足无冲突条件并进入校正。0.714与0.728两次提交均包含该处理，因此两者对比是在同一后处理规则下进行。最终成绩包含模型预测与匹配校正的共同效果，不能解释为纯模型在全部全新图像上的准确率。</w:t>
      </w:r>
    </w:p>
    <w:p>
      <w:pPr>
        <w:ind w:firstLine="420"/>
      </w:pPr>
      <w:r>
        <w:t>模型验证分数由每张样本对应的未训练该样本的模型输出拼接得到。不能把三个模型同时作用在这些验证样本上作为独立融合验证，因为其他折模型训练时可能见过该样本。</w:t>
      </w:r>
    </w:p>
    <w:p>
      <w:r>
        <w:br w:type="page"/>
      </w:r>
    </w:p>
    <w:p>
      <w:pPr>
        <w:pStyle w:val="Heading2"/>
      </w:pPr>
      <w:r>
        <w:t>2.4 实验参数与训练过程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7030"/>
      </w:tblGrid>
      <w:tr>
        <w:trPr>
          <w:tblHeader/>
        </w:trPr>
        <w:tc>
          <w:tcPr>
            <w:tcW w:type="dxa" w:w="23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100" w:after="100" w:line="264" w:lineRule="auto"/>
            </w:pPr>
            <w:r>
              <w:rPr>
                <w:b/>
                <w:sz w:val="18"/>
              </w:rPr>
              <w:t>配置项</w:t>
            </w:r>
          </w:p>
        </w:tc>
        <w:tc>
          <w:tcPr>
            <w:tcW w:type="dxa" w:w="70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100" w:after="100" w:line="264" w:lineRule="auto"/>
            </w:pPr>
            <w:r>
              <w:rPr>
                <w:b/>
                <w:sz w:val="18"/>
              </w:rPr>
              <w:t>实际运行配置</w:t>
            </w:r>
          </w:p>
        </w:tc>
      </w:tr>
      <w:tr>
        <w:tc>
          <w:tcPr>
            <w:tcW w:type="dxa" w:w="23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输入阶段</w:t>
            </w:r>
          </w:p>
        </w:tc>
        <w:tc>
          <w:tcPr>
            <w:tcW w:type="dxa" w:w="70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224×224最多20轮；288×288精调最多5轮</w:t>
            </w:r>
          </w:p>
        </w:tc>
      </w:tr>
      <w:tr>
        <w:tc>
          <w:tcPr>
            <w:tcW w:type="dxa" w:w="23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训练批量</w:t>
            </w:r>
          </w:p>
        </w:tc>
        <w:tc>
          <w:tcPr>
            <w:tcW w:type="dxa" w:w="70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微批量8；梯度累积8；通常有效批量64</w:t>
            </w:r>
          </w:p>
        </w:tc>
      </w:tr>
      <w:tr>
        <w:tc>
          <w:tcPr>
            <w:tcW w:type="dxa" w:w="23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优化器</w:t>
            </w:r>
          </w:p>
        </w:tc>
        <w:tc>
          <w:tcPr>
            <w:tcW w:type="dxa" w:w="70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AdamW；常规权重衰减0.05；偏置及低维参数不衰减</w:t>
            </w:r>
          </w:p>
        </w:tc>
      </w:tr>
      <w:tr>
        <w:tc>
          <w:tcPr>
            <w:tcW w:type="dxa" w:w="23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学习率</w:t>
            </w:r>
          </w:p>
        </w:tc>
        <w:tc>
          <w:tcPr>
            <w:tcW w:type="dxa" w:w="70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基础8×10⁻⁵；分类头5倍；精调基础为原值0.15倍</w:t>
            </w:r>
          </w:p>
        </w:tc>
      </w:tr>
      <w:tr>
        <w:tc>
          <w:tcPr>
            <w:tcW w:type="dxa" w:w="23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调度</w:t>
            </w:r>
          </w:p>
        </w:tc>
        <w:tc>
          <w:tcPr>
            <w:tcW w:type="dxa" w:w="70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前期warmup，随后余弦衰减至初始学习率的5%</w:t>
            </w:r>
          </w:p>
        </w:tc>
      </w:tr>
      <w:tr>
        <w:tc>
          <w:tcPr>
            <w:tcW w:type="dxa" w:w="23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正则</w:t>
            </w:r>
          </w:p>
        </w:tc>
        <w:tc>
          <w:tcPr>
            <w:tcW w:type="dxa" w:w="70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首阶段平滑0.05；精调平滑0.02；drop path 0.15</w:t>
            </w:r>
          </w:p>
        </w:tc>
      </w:tr>
      <w:tr>
        <w:tc>
          <w:tcPr>
            <w:tcW w:type="dxa" w:w="23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Mixup与EMA</w:t>
            </w:r>
          </w:p>
        </w:tc>
        <w:tc>
          <w:tcPr>
            <w:tcW w:type="dxa" w:w="70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首阶段50%概率Mixup，α=0.2；EMA decay=0.999</w:t>
            </w:r>
          </w:p>
        </w:tc>
      </w:tr>
      <w:tr>
        <w:tc>
          <w:tcPr>
            <w:tcW w:type="dxa" w:w="23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早停与运行</w:t>
            </w:r>
          </w:p>
        </w:tc>
        <w:tc>
          <w:tcPr>
            <w:tcW w:type="dxa" w:w="70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patience=6；单卡；workers=0；FP16混合精度</w:t>
            </w:r>
          </w:p>
        </w:tc>
      </w:tr>
    </w:tbl>
    <w:p>
      <w:pPr>
        <w:spacing w:after="0"/>
      </w:pPr>
    </w:p>
    <w:p>
      <w:pPr>
        <w:ind w:firstLine="420"/>
      </w:pPr>
      <w:r>
        <w:t>训练增强针对紧致人脸框设计：随机裁剪保留85%至100%区域，轻微宽高比变化，水平翻转，±10度仿射旋转，2.5%平移，亮度与对比度扰动，以及概率0.10的小范围擦除。精调阶段裁剪下限提升到92%、旋转减至±5度，并关闭强增强。与植物任务不同，人脸不使用垂直翻转和大角度旋转，避免改变表情语义。</w:t>
      </w:r>
    </w:p>
    <w:p>
      <w:pPr>
        <w:ind w:firstLine="420"/>
      </w:pPr>
      <w:r>
        <w:t>每轮分别计算原始权重与EMA权重的验证准确率，保留更优者。两个分辨率阶段分别存储候选，最终比较clean、flip和crop_flip预测方式；同分优先低成本方式。该机制可以在288精调效果不佳时回退到224阶段，不强制采用最后训练的权重。</w:t>
      </w:r>
    </w:p>
    <w:p>
      <w:pPr>
        <w:pStyle w:val="Heading3"/>
      </w:pPr>
      <w:r>
        <w:t>2.4.1 训练故障与恢复</w:t>
      </w:r>
    </w:p>
    <w:p>
      <w:pPr>
        <w:ind w:firstLine="420"/>
      </w:pPr>
      <w:r>
        <w:t>早期运行曾在训练中发生内核退出，日志不足以确定唯一根因。稳定版固定单卡，关闭数据加载子进程，缓存48×48图像，记录CPU内存、GPU显存与磁盘空间，并约每10分钟保存轮内断点。断点包含模型、EMA、优化器、GradScaler、随机数状态、epoch与下一微批次位置，用于恢复训练。</w:t>
      </w:r>
    </w:p>
    <w:p>
      <w:pPr>
        <w:ind w:firstLine="420"/>
      </w:pPr>
      <w:r>
        <w:t>这些修改改善训练可观测性和恢复能力，最终取得完整结果。它们属于工程处理，不构成准确率提升的独立证据；小规模本地流程测试分数也不作为正式实验成绩。</w:t>
      </w:r>
    </w:p>
    <w:p>
      <w:r>
        <w:br w:type="page"/>
      </w:r>
    </w:p>
    <w:p>
      <w:pPr>
        <w:pStyle w:val="Heading2"/>
      </w:pPr>
      <w:r>
        <w:t>2.5 验证结果与提交结果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04"/>
        <w:gridCol w:w="1474"/>
        <w:gridCol w:w="1417"/>
        <w:gridCol w:w="964"/>
        <w:gridCol w:w="1928"/>
        <w:gridCol w:w="2268"/>
      </w:tblGrid>
      <w:tr>
        <w:trPr>
          <w:tblHeader/>
        </w:trPr>
        <w:tc>
          <w:tcPr>
            <w:tcW w:type="dxa" w:w="1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100" w:after="100" w:line="264" w:lineRule="auto"/>
            </w:pPr>
            <w:r>
              <w:rPr>
                <w:b/>
                <w:sz w:val="18"/>
              </w:rPr>
              <w:t>模型</w:t>
            </w:r>
          </w:p>
        </w:tc>
        <w:tc>
          <w:tcPr>
            <w:tcW w:type="dxa" w:w="14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100" w:after="100" w:line="264" w:lineRule="auto"/>
            </w:pPr>
            <w:r>
              <w:rPr>
                <w:b/>
                <w:sz w:val="18"/>
              </w:rPr>
              <w:t>验证样本</w:t>
            </w:r>
          </w:p>
        </w:tc>
        <w:tc>
          <w:tcPr>
            <w:tcW w:type="dxa" w:w="141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100" w:after="100" w:line="264" w:lineRule="auto"/>
            </w:pPr>
            <w:r>
              <w:rPr>
                <w:b/>
                <w:sz w:val="18"/>
              </w:rPr>
              <w:t>最佳轮次</w:t>
            </w:r>
          </w:p>
        </w:tc>
        <w:tc>
          <w:tcPr>
            <w:tcW w:type="dxa" w:w="9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100" w:after="100" w:line="264" w:lineRule="auto"/>
            </w:pPr>
            <w:r>
              <w:rPr>
                <w:b/>
                <w:sz w:val="18"/>
              </w:rPr>
              <w:t>输入</w:t>
            </w:r>
          </w:p>
        </w:tc>
        <w:tc>
          <w:tcPr>
            <w:tcW w:type="dxa" w:w="19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100" w:after="100" w:line="264" w:lineRule="auto"/>
            </w:pPr>
            <w:r>
              <w:rPr>
                <w:b/>
                <w:sz w:val="18"/>
              </w:rPr>
              <w:t>TTA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100" w:after="100" w:line="264" w:lineRule="auto"/>
            </w:pPr>
            <w:r>
              <w:rPr>
                <w:b/>
                <w:sz w:val="18"/>
              </w:rPr>
              <w:t>验证准确率</w:t>
            </w:r>
          </w:p>
        </w:tc>
      </w:tr>
      <w:tr>
        <w:tc>
          <w:tcPr>
            <w:tcW w:type="dxa" w:w="1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第0折</w:t>
            </w:r>
          </w:p>
        </w:tc>
        <w:tc>
          <w:tcPr>
            <w:tcW w:type="dxa" w:w="14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5641</w:t>
            </w:r>
          </w:p>
        </w:tc>
        <w:tc>
          <w:tcPr>
            <w:tcW w:type="dxa" w:w="141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9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224</w:t>
            </w:r>
          </w:p>
        </w:tc>
        <w:tc>
          <w:tcPr>
            <w:tcW w:type="dxa" w:w="19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clean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70.3244%</w:t>
            </w:r>
          </w:p>
        </w:tc>
      </w:tr>
      <w:tr>
        <w:tc>
          <w:tcPr>
            <w:tcW w:type="dxa" w:w="1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第1折</w:t>
            </w:r>
          </w:p>
        </w:tc>
        <w:tc>
          <w:tcPr>
            <w:tcW w:type="dxa" w:w="14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5659</w:t>
            </w:r>
          </w:p>
        </w:tc>
        <w:tc>
          <w:tcPr>
            <w:tcW w:type="dxa" w:w="141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9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224</w:t>
            </w:r>
          </w:p>
        </w:tc>
        <w:tc>
          <w:tcPr>
            <w:tcW w:type="dxa" w:w="19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crop_flip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70.7192%</w:t>
            </w:r>
          </w:p>
        </w:tc>
      </w:tr>
      <w:tr>
        <w:tc>
          <w:tcPr>
            <w:tcW w:type="dxa" w:w="1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第2折</w:t>
            </w:r>
          </w:p>
        </w:tc>
        <w:tc>
          <w:tcPr>
            <w:tcW w:type="dxa" w:w="14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5660</w:t>
            </w:r>
          </w:p>
        </w:tc>
        <w:tc>
          <w:tcPr>
            <w:tcW w:type="dxa" w:w="141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9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224</w:t>
            </w:r>
          </w:p>
        </w:tc>
        <w:tc>
          <w:tcPr>
            <w:tcW w:type="dxa" w:w="19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flip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71.0601%</w:t>
            </w:r>
          </w:p>
        </w:tc>
      </w:tr>
      <w:tr>
        <w:tc>
          <w:tcPr>
            <w:tcW w:type="dxa" w:w="1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验证折拼接</w:t>
            </w:r>
          </w:p>
        </w:tc>
        <w:tc>
          <w:tcPr>
            <w:tcW w:type="dxa" w:w="14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16960</w:t>
            </w:r>
          </w:p>
        </w:tc>
        <w:tc>
          <w:tcPr>
            <w:tcW w:type="dxa" w:w="141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9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9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各折所选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70.7017%</w:t>
            </w:r>
          </w:p>
        </w:tc>
      </w:tr>
    </w:tbl>
    <w:p>
      <w:pPr>
        <w:spacing w:after="0"/>
      </w:pPr>
    </w:p>
    <w:p>
      <w:pPr>
        <w:ind w:firstLine="420"/>
      </w:pPr>
      <w:r>
        <w:t>最佳轮次由保存的检查点读取，代码内部epoch从0计数，表中已转换为从1计数。三个模型最终均选中224阶段，288精调未成为最终最优候选。第1、2折分别选择裁剪翻转和水平翻转，第0折选择不增强，说明TTA收益取决于模型与样本，不能一律开启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1814"/>
        <w:gridCol w:w="2438"/>
      </w:tblGrid>
      <w:tr>
        <w:trPr>
          <w:tblHeader/>
        </w:trPr>
        <w:tc>
          <w:tcPr>
            <w:tcW w:type="dxa" w:w="51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100" w:after="100" w:line="264" w:lineRule="auto"/>
            </w:pPr>
            <w:r>
              <w:rPr>
                <w:b/>
                <w:sz w:val="18"/>
              </w:rPr>
              <w:t>提交方案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100" w:after="100" w:line="264" w:lineRule="auto"/>
            </w:pPr>
            <w:r>
              <w:rPr>
                <w:b/>
                <w:sz w:val="18"/>
              </w:rPr>
              <w:t>Kaggle分数</w:t>
            </w:r>
          </w:p>
        </w:tc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100" w:after="100" w:line="264" w:lineRule="auto"/>
            </w:pPr>
            <w:r>
              <w:rPr>
                <w:b/>
                <w:sz w:val="18"/>
              </w:rPr>
              <w:t>变化</w:t>
            </w:r>
          </w:p>
        </w:tc>
      </w:tr>
      <w:tr>
        <w:tc>
          <w:tcPr>
            <w:tcW w:type="dxa" w:w="51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第0折单模型基线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0.714</w:t>
            </w:r>
          </w:p>
        </w:tc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基准</w:t>
            </w:r>
          </w:p>
        </w:tc>
      </w:tr>
      <w:tr>
        <w:tc>
          <w:tcPr>
            <w:tcW w:type="dxa" w:w="51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复用第0折并新增第1与第2折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0.728</w:t>
            </w:r>
          </w:p>
        </w:tc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提高0.014，即1.4个百分点</w:t>
            </w:r>
          </w:p>
        </w:tc>
      </w:tr>
    </w:tbl>
    <w:p>
      <w:pPr>
        <w:spacing w:after="0"/>
      </w:pPr>
    </w:p>
    <w:p>
      <w:pPr>
        <w:ind w:firstLine="420"/>
      </w:pPr>
      <w:r>
        <w:t>Kaggle分数来自已引用聊天中的实际提交记录，验证数值来自本地保存的validation_metrics.json及模型检查点。三折验证预测共16960张，覆盖全部训练数据约60%，拼接准确率70.7017%。它既不是完整五折OOF，也不是三个模型共同预测一个独立验证集的融合准确率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32978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e_confus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97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2 三个验证折拼接预测的行归一化混淆矩阵</w:t>
      </w:r>
    </w:p>
    <w:p>
      <w:r>
        <w:br w:type="page"/>
      </w:r>
    </w:p>
    <w:p>
      <w:pPr>
        <w:pStyle w:val="Heading2"/>
      </w:pPr>
      <w:r>
        <w:t>2.6 错误分析与实验结论</w:t>
      </w:r>
    </w:p>
    <w:p>
      <w:pPr>
        <w:ind w:firstLine="420"/>
      </w:pPr>
      <w:r>
        <w:t>快乐类召回率90.67%、惊讶类78.24%，高于恐惧类52.80%与悲伤类58.00%。三折验证中，悲伤被预测为中性479次，恐惧被预测为悲伤382次，悲伤被预测为恐惧363次，中性被预测为悲伤341次。该现象提示低分辨率下相近表情边界是主要困难，而非所有类别同等难学。</w:t>
      </w:r>
    </w:p>
    <w:p>
      <w:pPr>
        <w:ind w:firstLine="420"/>
      </w:pPr>
      <w:r>
        <w:t>三个模型的验证准确率相差约0.74个百分点，表现较一致；公开提交从0.714提高至0.728，支持在当前配置下增加两个折模型的整体有效性。但没有独立验证集上的三模型融合评估，也没有去除完全相同图像校正的公开榜对照，因此不能分别量化融合与匹配校正各自贡献。</w:t>
      </w:r>
    </w:p>
    <w:p>
      <w:pPr>
        <w:ind w:firstLine="420"/>
      </w:pPr>
      <w:r>
        <w:t>改进时优先在固定的独立验证集上比较减弱Mixup、关闭随机擦除、类别平衡采样等方案，观察恐惧和悲伤的召回率能否提升；这些方向尚未作为完成实验计入结果。继续追加不同结构模型或补齐其余两折也需要验证，不能保证再提升0.01。</w:t>
      </w:r>
    </w:p>
    <w:p>
      <w:pPr>
        <w:pStyle w:val="Heading2"/>
      </w:pPr>
      <w:r>
        <w:t>2.7 复现与代码组织</w:t>
      </w:r>
    </w:p>
    <w:p>
      <w:pPr>
        <w:ind w:firstLine="420"/>
      </w:pPr>
      <w:r>
        <w:t>基线入口为task2/task2_2026task2_copy.py；三模型入口为task2/task2_ensemble3_copy.py。Kaggle挂载2026task2原始数据与task2_baseline_0714.zip解压内容，保持默认TRAIN_FOLDS为0,1,2和REUSE_DIR为auto，开启GPU与Internet后执行。程序自动复用第0折，再训练第1、2折。最终提交位于/kaggle/working/task2_ensemble3_output/submission.csv。</w:t>
      </w:r>
    </w:p>
    <w:p>
      <w:pPr>
        <w:ind w:firstLine="420"/>
      </w:pPr>
      <w:r>
        <w:t>仓库保存了冻结分折、运行配置、数据审计、每折验证与测试预测概率、混淆矩阵和最终CSV，可据此重新计算验证与融合结果。大型模型权重、原始数据和虚拟环境不进入Git仓库。原始日志未完整保存时，仅记录检查点能够证实的最佳轮次，不推断全部训练时长。</w:t>
      </w:r>
    </w:p>
    <w:p>
      <w:pPr>
        <w:pStyle w:val="Heading2"/>
      </w:pPr>
      <w:r>
        <w:t>2.8 参考资料与证据</w:t>
      </w:r>
    </w:p>
    <w:p>
      <w:pPr>
        <w:spacing w:after="100"/>
      </w:pPr>
      <w:r>
        <w:t>[1] timm ConvNeXt Small模型卡：https://huggingface.co/timm/convnext_small.fb_in22k_ft_in1k</w:t>
      </w:r>
    </w:p>
    <w:p>
      <w:pPr>
        <w:spacing w:after="100"/>
      </w:pPr>
      <w:r>
        <w:t>[2] timm ConvNeXt Tiny模型卡：https://huggingface.co/timm/convnext_tiny.fb_in22k_ft_in1k</w:t>
      </w:r>
    </w:p>
    <w:p>
      <w:pPr>
        <w:spacing w:after="100"/>
      </w:pPr>
      <w:r>
        <w:t>[3] ConvNeXt原始实现：https://github.com/facebookresearch/ConvNeXt</w:t>
      </w:r>
    </w:p>
    <w:p>
      <w:pPr>
        <w:spacing w:after="100"/>
      </w:pPr>
      <w:r>
        <w:t>[4] 课设任务二：https://www.kaggle.com/competitions/2026task2</w:t>
      </w:r>
    </w:p>
    <w:p>
      <w:pPr>
        <w:spacing w:after="100"/>
      </w:pPr>
      <w:r>
        <w:t>[5] 实验一提交页面截图、task1/results内CSV和数据审计；实验二results内运行配置、分折清单、概率及验证指标；提交成绩来源登记于各实验evidence.md。</w:t>
      </w:r>
    </w:p>
    <w:sectPr w:rsidR="00FC693F" w:rsidRPr="0006063C" w:rsidSect="00034616">
      <w:footerReference w:type="default" r:id="rId9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40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8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8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8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 w:before="200"/>
      <w:contextualSpacing/>
    </w:pPr>
    <w:rPr>
      <w:rFonts w:asciiTheme="majorHAnsi" w:eastAsiaTheme="majorEastAsia" w:hAnsiTheme="majorHAnsi" w:cstheme="majorBidi" w:ascii="宋体" w:hAnsi="宋体" w:eastAsia="宋体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 w:eastAsia="宋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宋体" w:hAnsi="宋体" w:eastAsia="宋体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mmma-eey/machine-learning-course-project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机器学习课程设计前两章报告</dc:title>
  <dc:subject>植物幼苗分类与人脸表情识别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