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media/image15.emf" ContentType="image/x-emf"/>
  <Override PartName="/word/media/image16.emf" ContentType="image/x-emf"/>
  <Override PartName="/word/media/image14.wmf" ContentType="image/x-wmf"/>
  <Override PartName="/word/media/image12.png" ContentType="image/png"/>
  <Override PartName="/word/media/image13.emf" ContentType="image/x-emf"/>
  <Override PartName="/word/media/image11.wmf" ContentType="image/x-wmf"/>
  <Override PartName="/word/media/image10.wmf" ContentType="image/x-wmf"/>
  <Override PartName="/word/media/image9.wmf" ContentType="image/x-wmf"/>
  <Override PartName="/word/media/image8.wmf" ContentType="image/x-wmf"/>
  <Override PartName="/word/media/image7.wmf" ContentType="image/x-wmf"/>
  <Override PartName="/word/media/image6.wmf" ContentType="image/x-wmf"/>
  <Override PartName="/word/media/image1.png" ContentType="image/png"/>
  <Override PartName="/word/media/image3.wmf" ContentType="image/x-wmf"/>
  <Override PartName="/word/media/image2.png" ContentType="image/png"/>
  <Override PartName="/word/media/image4.wmf" ContentType="image/x-wmf"/>
  <Override PartName="/word/media/image5.wmf" ContentType="image/x-wmf"/>
  <Override PartName="/word/embeddings/oleObject3.bin" ContentType="application/vnd.openxmlformats-officedocument.oleObject"/>
  <Override PartName="/word/embeddings/oleObject1.bin" ContentType="application/vnd.openxmlformats-officedocument.oleObject"/>
  <Override PartName="/word/embeddings/oleObject2.xlsx" ContentType="application/vnd.openxmlformats-officedocument.spreadsheetml.sheet"/>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304413881"/>
      </w:sdtPr>
      <w:sdtContent>
        <w:p>
          <w:pPr>
            <w:pStyle w:val="Normal"/>
            <w:spacing w:lineRule="auto" w:line="240" w:before="0" w:after="128"/>
            <w:rPr/>
          </w:pPr>
          <w:r>
            <w:rPr/>
          </w:r>
        </w:p>
        <w:p>
          <w:pPr>
            <w:pStyle w:val="Normal"/>
            <w:spacing w:lineRule="auto" w:line="240" w:before="0" w:after="128"/>
            <w:jc w:val="center"/>
            <w:rPr>
              <w:sz w:val="32"/>
              <w:szCs w:val="32"/>
            </w:rPr>
          </w:pPr>
          <w:r>
            <w:drawing>
              <wp:anchor behindDoc="0" distT="0" distB="635" distL="114300" distR="114300" simplePos="0" locked="0" layoutInCell="1" allowOverlap="1" relativeHeight="2">
                <wp:simplePos x="0" y="0"/>
                <wp:positionH relativeFrom="margin">
                  <wp:align>center</wp:align>
                </wp:positionH>
                <wp:positionV relativeFrom="margin">
                  <wp:align>top</wp:align>
                </wp:positionV>
                <wp:extent cx="1775460" cy="2094865"/>
                <wp:effectExtent l="0" t="0" r="0" b="0"/>
                <wp:wrapTopAndBottom/>
                <wp:docPr id="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
                        <pic:cNvPicPr>
                          <a:picLocks noChangeAspect="1" noChangeArrowheads="1"/>
                        </pic:cNvPicPr>
                      </pic:nvPicPr>
                      <pic:blipFill>
                        <a:blip r:embed="rId2"/>
                        <a:stretch>
                          <a:fillRect/>
                        </a:stretch>
                      </pic:blipFill>
                      <pic:spPr bwMode="auto">
                        <a:xfrm>
                          <a:off x="0" y="0"/>
                          <a:ext cx="1775460" cy="2094865"/>
                        </a:xfrm>
                        <a:prstGeom prst="rect">
                          <a:avLst/>
                        </a:prstGeom>
                      </pic:spPr>
                    </pic:pic>
                  </a:graphicData>
                </a:graphic>
              </wp:anchor>
            </w:drawing>
          </w:r>
          <w:r>
            <w:rPr>
              <w:rFonts w:cs="Times New Roman"/>
              <w:sz w:val="32"/>
              <w:szCs w:val="32"/>
            </w:rPr>
            <w:t>A</w:t>
          </w:r>
          <w:r>
            <w:rPr>
              <w:rFonts w:cs="Times New Roman"/>
              <w:sz w:val="32"/>
              <w:szCs w:val="32"/>
            </w:rPr>
            <w:t>lbert-Ludwigs-Universität Freiburg</w:t>
          </w:r>
          <w:r>
            <w:rPr>
              <w:sz w:val="32"/>
              <w:szCs w:val="32"/>
            </w:rPr>
            <w:t xml:space="preserve"> </w:t>
          </w:r>
        </w:p>
        <w:p>
          <w:pPr>
            <w:pStyle w:val="Normal"/>
            <w:spacing w:lineRule="auto" w:line="240" w:before="0" w:after="128"/>
            <w:jc w:val="center"/>
            <w:rPr>
              <w:szCs w:val="24"/>
            </w:rPr>
          </w:pPr>
          <w:r>
            <w:rPr>
              <w:szCs w:val="24"/>
            </w:rPr>
          </w:r>
        </w:p>
        <w:p>
          <w:pPr>
            <w:pStyle w:val="Normal"/>
            <w:spacing w:lineRule="auto" w:line="240" w:before="0" w:after="128"/>
            <w:jc w:val="center"/>
            <w:rPr>
              <w:szCs w:val="24"/>
            </w:rPr>
          </w:pPr>
          <w:r>
            <w:rPr>
              <w:szCs w:val="24"/>
            </w:rPr>
          </w:r>
        </w:p>
        <w:p>
          <w:pPr>
            <w:pStyle w:val="Normal"/>
            <w:spacing w:lineRule="auto" w:line="240" w:before="0" w:after="128"/>
            <w:jc w:val="center"/>
            <w:rPr>
              <w:sz w:val="28"/>
              <w:szCs w:val="28"/>
            </w:rPr>
          </w:pPr>
          <w:r>
            <w:rPr>
              <w:sz w:val="28"/>
              <w:szCs w:val="28"/>
            </w:rPr>
          </w:r>
        </w:p>
        <w:p>
          <w:pPr>
            <w:pStyle w:val="Normal"/>
            <w:spacing w:lineRule="auto" w:line="240" w:before="0" w:after="128"/>
            <w:jc w:val="center"/>
            <w:rPr>
              <w:sz w:val="28"/>
              <w:szCs w:val="28"/>
            </w:rPr>
          </w:pPr>
          <w:r>
            <w:rPr>
              <w:sz w:val="28"/>
              <w:szCs w:val="28"/>
            </w:rPr>
          </w:r>
        </w:p>
        <w:p>
          <w:pPr>
            <w:pStyle w:val="Normal"/>
            <w:spacing w:lineRule="auto" w:line="240" w:before="0" w:after="128"/>
            <w:jc w:val="center"/>
            <w:rPr>
              <w:rFonts w:cs="Times New Roman"/>
              <w:b/>
              <w:b/>
              <w:bCs/>
              <w:sz w:val="44"/>
              <w:szCs w:val="44"/>
            </w:rPr>
          </w:pPr>
          <w:r>
            <w:rPr>
              <w:rFonts w:cs="Times New Roman"/>
              <w:b/>
              <w:bCs/>
              <w:sz w:val="44"/>
              <w:szCs w:val="44"/>
            </w:rPr>
            <w:t>Automatisierte Identifizierung von Wirkstoffen in wissenschaftlicher Literatur mithilfe maschineller Lernverfahren</w:t>
          </w:r>
        </w:p>
        <w:p>
          <w:pPr>
            <w:pStyle w:val="Normal"/>
            <w:spacing w:lineRule="auto" w:line="240" w:before="0" w:after="128"/>
            <w:jc w:val="center"/>
            <w:rPr>
              <w:rFonts w:cs="Times New Roman"/>
              <w:b/>
              <w:b/>
              <w:bCs/>
              <w:sz w:val="40"/>
              <w:szCs w:val="40"/>
            </w:rPr>
          </w:pPr>
          <w:r>
            <w:rPr>
              <w:rFonts w:cs="Times New Roman"/>
              <w:b/>
              <w:bCs/>
              <w:sz w:val="40"/>
              <w:szCs w:val="40"/>
            </w:rPr>
          </w:r>
        </w:p>
        <w:p>
          <w:pPr>
            <w:pStyle w:val="Normal"/>
            <w:spacing w:lineRule="auto" w:line="240" w:before="0" w:after="128"/>
            <w:jc w:val="center"/>
            <w:rPr>
              <w:rFonts w:cs="Times New Roman"/>
              <w:b/>
              <w:b/>
              <w:bCs/>
              <w:sz w:val="40"/>
              <w:szCs w:val="40"/>
            </w:rPr>
          </w:pPr>
          <w:r>
            <w:rPr>
              <w:rFonts w:cs="Times New Roman"/>
              <w:b/>
              <w:bCs/>
              <w:sz w:val="40"/>
              <w:szCs w:val="40"/>
            </w:rPr>
          </w:r>
        </w:p>
        <w:p>
          <w:pPr>
            <w:pStyle w:val="Normal"/>
            <w:spacing w:lineRule="auto" w:line="240" w:before="0" w:after="128"/>
            <w:jc w:val="center"/>
            <w:rPr>
              <w:rFonts w:cs="Times New Roman"/>
              <w:b/>
              <w:b/>
              <w:bCs/>
              <w:sz w:val="40"/>
              <w:szCs w:val="40"/>
            </w:rPr>
          </w:pPr>
          <w:r>
            <w:rPr>
              <w:rFonts w:cs="Times New Roman"/>
              <w:b/>
              <w:bCs/>
              <w:sz w:val="40"/>
              <w:szCs w:val="40"/>
            </w:rPr>
          </w:r>
        </w:p>
        <w:p>
          <w:pPr>
            <w:pStyle w:val="Normal"/>
            <w:spacing w:lineRule="auto" w:line="240" w:before="0" w:after="128"/>
            <w:jc w:val="center"/>
            <w:rPr>
              <w:rFonts w:cs="Times New Roman"/>
              <w:b/>
              <w:b/>
              <w:bCs/>
              <w:sz w:val="40"/>
              <w:szCs w:val="40"/>
            </w:rPr>
          </w:pPr>
          <w:r>
            <w:rPr>
              <w:rFonts w:cs="Times New Roman"/>
              <w:b/>
              <w:bCs/>
              <w:sz w:val="40"/>
              <w:szCs w:val="40"/>
            </w:rPr>
          </w:r>
        </w:p>
        <w:p>
          <w:pPr>
            <w:pStyle w:val="Normal"/>
            <w:spacing w:lineRule="auto" w:line="240" w:before="0" w:after="128"/>
            <w:jc w:val="center"/>
            <w:rPr>
              <w:rFonts w:cs="Times New Roman"/>
              <w:b/>
              <w:b/>
              <w:bCs/>
              <w:sz w:val="40"/>
              <w:szCs w:val="40"/>
            </w:rPr>
          </w:pPr>
          <w:r>
            <w:rPr>
              <w:rFonts w:cs="Times New Roman"/>
              <w:b/>
              <w:bCs/>
              <w:sz w:val="40"/>
              <w:szCs w:val="40"/>
            </w:rPr>
          </w:r>
        </w:p>
        <w:p>
          <w:pPr>
            <w:pStyle w:val="Normal"/>
            <w:spacing w:lineRule="auto" w:line="240" w:before="0" w:after="128"/>
            <w:jc w:val="center"/>
            <w:rPr>
              <w:rFonts w:cs="Times New Roman"/>
              <w:b/>
              <w:b/>
              <w:bCs/>
              <w:sz w:val="40"/>
              <w:szCs w:val="40"/>
            </w:rPr>
          </w:pPr>
          <w:r>
            <w:rPr>
              <w:rFonts w:cs="Times New Roman"/>
              <w:b/>
              <w:bCs/>
              <w:sz w:val="40"/>
              <w:szCs w:val="40"/>
            </w:rPr>
          </w:r>
        </w:p>
        <w:p>
          <w:pPr>
            <w:pStyle w:val="Normal"/>
            <w:spacing w:lineRule="auto" w:line="240" w:before="0" w:after="128"/>
            <w:jc w:val="center"/>
            <w:rPr>
              <w:rFonts w:cs="Times New Roman"/>
              <w:sz w:val="32"/>
              <w:szCs w:val="32"/>
            </w:rPr>
          </w:pPr>
          <w:r>
            <w:rPr>
              <w:rFonts w:cs="Times New Roman"/>
              <w:sz w:val="32"/>
              <w:szCs w:val="32"/>
            </w:rPr>
            <w:t>Bachelorarbeit</w:t>
          </w:r>
        </w:p>
        <w:p>
          <w:pPr>
            <w:pStyle w:val="Normal"/>
            <w:spacing w:lineRule="auto" w:line="240" w:before="0" w:after="128"/>
            <w:jc w:val="center"/>
            <w:rPr>
              <w:rFonts w:cs="Times New Roman"/>
              <w:i/>
              <w:i/>
              <w:iCs/>
              <w:sz w:val="32"/>
              <w:szCs w:val="32"/>
            </w:rPr>
          </w:pPr>
          <w:r>
            <w:rPr>
              <w:rFonts w:cs="Times New Roman"/>
              <w:i/>
              <w:iCs/>
              <w:sz w:val="32"/>
              <w:szCs w:val="32"/>
            </w:rPr>
            <w:t>Pharmazeutische Wissenschaften</w:t>
          </w:r>
        </w:p>
        <w:p>
          <w:pPr>
            <w:pStyle w:val="Normal"/>
            <w:spacing w:lineRule="auto" w:line="240" w:before="0" w:after="128"/>
            <w:jc w:val="center"/>
            <w:rPr>
              <w:rFonts w:cs="Times New Roman"/>
              <w:sz w:val="32"/>
              <w:szCs w:val="32"/>
            </w:rPr>
          </w:pPr>
          <w:r>
            <w:rPr>
              <w:rFonts w:cs="Times New Roman"/>
              <w:sz w:val="32"/>
              <w:szCs w:val="32"/>
            </w:rPr>
          </w:r>
        </w:p>
        <w:p>
          <w:pPr>
            <w:pStyle w:val="Normal"/>
            <w:spacing w:lineRule="auto" w:line="240" w:before="3" w:after="128"/>
            <w:jc w:val="center"/>
            <w:rPr>
              <w:rFonts w:cs="Times New Roman"/>
              <w:sz w:val="32"/>
              <w:szCs w:val="32"/>
            </w:rPr>
          </w:pPr>
          <w:r>
            <w:rPr>
              <w:rFonts w:cs="Times New Roman"/>
              <w:sz w:val="32"/>
              <w:szCs w:val="32"/>
            </w:rPr>
            <w:t xml:space="preserve">Manuel Dorer </w:t>
          </w:r>
        </w:p>
        <w:p>
          <w:pPr>
            <w:pStyle w:val="Normal"/>
            <w:spacing w:lineRule="auto" w:line="240" w:before="3" w:after="128"/>
            <w:jc w:val="center"/>
            <w:rPr>
              <w:rFonts w:cs="Times New Roman"/>
              <w:sz w:val="32"/>
              <w:szCs w:val="32"/>
            </w:rPr>
          </w:pPr>
          <w:r>
            <w:rPr>
              <w:rFonts w:cs="Times New Roman"/>
              <w:sz w:val="32"/>
              <w:szCs w:val="32"/>
            </w:rPr>
          </w:r>
        </w:p>
        <w:p>
          <w:pPr>
            <w:pStyle w:val="Normal"/>
            <w:tabs>
              <w:tab w:val="left" w:pos="6190" w:leader="none"/>
            </w:tabs>
            <w:spacing w:lineRule="auto" w:line="240" w:before="0" w:after="128"/>
            <w:ind w:left="288" w:hanging="0"/>
            <w:jc w:val="left"/>
            <w:rPr>
              <w:rFonts w:cs="Times New Roman"/>
              <w:sz w:val="32"/>
              <w:szCs w:val="32"/>
            </w:rPr>
          </w:pPr>
          <w:r>
            <w:rPr>
              <w:rFonts w:cs="Times New Roman"/>
              <w:sz w:val="32"/>
              <w:szCs w:val="32"/>
            </w:rPr>
            <w:tab/>
          </w:r>
        </w:p>
        <w:p>
          <w:pPr>
            <w:pStyle w:val="Normal"/>
            <w:spacing w:lineRule="auto" w:line="240" w:before="0" w:after="128"/>
            <w:ind w:left="288" w:hanging="0"/>
            <w:jc w:val="left"/>
            <w:rPr>
              <w:rFonts w:cs="Times New Roman"/>
              <w:sz w:val="28"/>
              <w:szCs w:val="28"/>
            </w:rPr>
          </w:pPr>
          <w:r>
            <w:rPr>
              <w:rFonts w:cs="Times New Roman"/>
              <w:sz w:val="28"/>
              <w:szCs w:val="28"/>
            </w:rPr>
          </w:r>
        </w:p>
        <w:p>
          <w:pPr>
            <w:pStyle w:val="Normal"/>
            <w:spacing w:lineRule="auto" w:line="240" w:before="0" w:after="128"/>
            <w:ind w:left="288" w:hanging="0"/>
            <w:jc w:val="left"/>
            <w:rPr>
              <w:rFonts w:cs="Times New Roman"/>
              <w:sz w:val="28"/>
              <w:szCs w:val="28"/>
            </w:rPr>
          </w:pPr>
          <w:r>
            <w:rPr>
              <w:rFonts w:cs="Times New Roman"/>
              <w:sz w:val="28"/>
              <w:szCs w:val="28"/>
            </w:rPr>
            <w:t>Fakultät für Chemie und Pharmazie,</w:t>
          </w:r>
        </w:p>
        <w:p>
          <w:pPr>
            <w:pStyle w:val="Normal"/>
            <w:spacing w:lineRule="auto" w:line="240" w:before="0" w:after="128"/>
            <w:ind w:left="288" w:hanging="0"/>
            <w:jc w:val="left"/>
            <w:rPr>
              <w:rFonts w:cs="Times New Roman"/>
              <w:sz w:val="28"/>
              <w:szCs w:val="28"/>
            </w:rPr>
          </w:pPr>
          <w:r>
            <w:rPr>
              <w:rFonts w:cs="Times New Roman"/>
              <w:sz w:val="28"/>
              <w:szCs w:val="28"/>
            </w:rPr>
            <w:t>Institut für Pharmazeutische Wissenschaften,</w:t>
          </w:r>
        </w:p>
        <w:p>
          <w:pPr>
            <w:pStyle w:val="Normal"/>
            <w:spacing w:lineRule="auto" w:line="240" w:before="0" w:after="128"/>
            <w:ind w:left="288" w:hanging="0"/>
            <w:jc w:val="left"/>
            <w:rPr>
              <w:rFonts w:cs="Times New Roman"/>
              <w:sz w:val="28"/>
              <w:szCs w:val="28"/>
            </w:rPr>
          </w:pPr>
          <w:r>
            <w:rPr>
              <w:rFonts w:cs="Times New Roman"/>
              <w:sz w:val="28"/>
              <w:szCs w:val="28"/>
            </w:rPr>
            <w:t>Pharmazeutische Bioinformatik</w:t>
          </w:r>
        </w:p>
        <w:p>
          <w:pPr>
            <w:pStyle w:val="Normal"/>
            <w:spacing w:lineRule="auto" w:line="240" w:before="0" w:after="128"/>
            <w:ind w:left="288" w:hanging="0"/>
            <w:jc w:val="left"/>
            <w:rPr>
              <w:rFonts w:cs="Times New Roman"/>
              <w:sz w:val="28"/>
              <w:szCs w:val="28"/>
            </w:rPr>
          </w:pPr>
          <w:r>
            <w:rPr>
              <w:rFonts w:cs="Times New Roman"/>
              <w:sz w:val="28"/>
              <w:szCs w:val="28"/>
            </w:rPr>
          </w:r>
        </w:p>
        <w:p>
          <w:pPr>
            <w:pStyle w:val="Normal"/>
            <w:spacing w:lineRule="auto" w:line="240" w:before="3" w:after="128"/>
            <w:jc w:val="center"/>
            <w:rPr>
              <w:rFonts w:cs="Times New Roman"/>
              <w:szCs w:val="24"/>
            </w:rPr>
          </w:pPr>
          <w:r>
            <w:rPr>
              <w:rFonts w:cs="Times New Roman"/>
              <w:szCs w:val="24"/>
            </w:rPr>
          </w:r>
        </w:p>
        <w:p>
          <w:pPr>
            <w:pStyle w:val="Normal"/>
            <w:spacing w:lineRule="auto" w:line="240" w:before="3" w:after="128"/>
            <w:jc w:val="center"/>
            <w:rPr>
              <w:rFonts w:cs="Times New Roman"/>
              <w:szCs w:val="24"/>
            </w:rPr>
          </w:pPr>
          <w:r>
            <w:rPr>
              <w:rFonts w:cs="Times New Roman"/>
              <w:szCs w:val="24"/>
            </w:rPr>
          </w:r>
        </w:p>
        <w:p>
          <w:pPr>
            <w:pStyle w:val="Normal"/>
            <w:spacing w:lineRule="auto" w:line="240" w:before="3" w:after="128"/>
            <w:jc w:val="center"/>
            <w:rPr>
              <w:rFonts w:cs="Times New Roman"/>
              <w:szCs w:val="24"/>
            </w:rPr>
          </w:pPr>
          <w:r>
            <w:rPr>
              <w:rFonts w:cs="Times New Roman"/>
              <w:szCs w:val="24"/>
            </w:rPr>
          </w:r>
        </w:p>
        <w:p>
          <w:pPr>
            <w:pStyle w:val="Normal"/>
            <w:spacing w:lineRule="auto" w:line="240" w:before="3" w:after="128"/>
            <w:jc w:val="center"/>
            <w:rPr>
              <w:rFonts w:cs="Times New Roman"/>
              <w:szCs w:val="24"/>
            </w:rPr>
          </w:pPr>
          <w:r>
            <w:rPr>
              <w:rFonts w:cs="Times New Roman"/>
              <w:szCs w:val="24"/>
            </w:rPr>
          </w:r>
        </w:p>
        <w:p>
          <w:pPr>
            <w:pStyle w:val="Normal"/>
            <w:spacing w:lineRule="auto" w:line="240" w:before="3" w:after="128"/>
            <w:jc w:val="center"/>
            <w:rPr>
              <w:rFonts w:cs="Times New Roman"/>
              <w:szCs w:val="24"/>
            </w:rPr>
          </w:pPr>
          <w:r>
            <w:rPr>
              <w:rFonts w:cs="Times New Roman"/>
              <w:szCs w:val="24"/>
            </w:rPr>
          </w:r>
        </w:p>
        <w:p>
          <w:pPr>
            <w:pStyle w:val="Normal"/>
            <w:spacing w:lineRule="auto" w:line="240" w:before="3" w:after="128"/>
            <w:jc w:val="center"/>
            <w:rPr>
              <w:rFonts w:cs="Times New Roman"/>
              <w:szCs w:val="24"/>
            </w:rPr>
          </w:pPr>
          <w:r>
            <w:rPr>
              <w:rFonts w:cs="Times New Roman"/>
              <w:szCs w:val="24"/>
            </w:rPr>
          </w:r>
        </w:p>
        <w:p>
          <w:pPr>
            <w:pStyle w:val="Normal"/>
            <w:spacing w:lineRule="auto" w:line="240" w:before="3" w:after="128"/>
            <w:jc w:val="center"/>
            <w:rPr>
              <w:rFonts w:cs="Times New Roman"/>
              <w:szCs w:val="24"/>
            </w:rPr>
          </w:pPr>
          <w:r>
            <w:rPr>
              <w:rFonts w:cs="Times New Roman"/>
              <w:szCs w:val="24"/>
            </w:rPr>
          </w:r>
        </w:p>
        <w:p>
          <w:pPr>
            <w:pStyle w:val="Normal"/>
            <w:spacing w:lineRule="auto" w:line="240" w:before="3" w:after="128"/>
            <w:jc w:val="center"/>
            <w:rPr>
              <w:rFonts w:cs="Times New Roman"/>
              <w:szCs w:val="24"/>
            </w:rPr>
          </w:pPr>
          <w:r>
            <w:rPr>
              <w:rFonts w:cs="Times New Roman"/>
              <w:szCs w:val="24"/>
            </w:rPr>
          </w:r>
        </w:p>
        <w:p>
          <w:pPr>
            <w:pStyle w:val="Normal"/>
            <w:spacing w:lineRule="auto" w:line="240" w:before="3" w:after="128"/>
            <w:jc w:val="center"/>
            <w:rPr>
              <w:rFonts w:cs="Times New Roman"/>
              <w:szCs w:val="24"/>
            </w:rPr>
          </w:pPr>
          <w:r>
            <w:rPr>
              <w:rFonts w:cs="Times New Roman"/>
              <w:szCs w:val="24"/>
            </w:rPr>
            <w:t xml:space="preserve">vorgelegt von </w:t>
          </w:r>
        </w:p>
        <w:p>
          <w:pPr>
            <w:pStyle w:val="Normal"/>
            <w:spacing w:lineRule="auto" w:line="240" w:before="3" w:after="128"/>
            <w:jc w:val="center"/>
            <w:rPr>
              <w:rFonts w:cs="Times New Roman"/>
              <w:szCs w:val="24"/>
            </w:rPr>
          </w:pPr>
          <w:r>
            <w:rPr>
              <w:rFonts w:cs="Times New Roman"/>
              <w:szCs w:val="24"/>
            </w:rPr>
            <w:t>Manuel Dorer</w:t>
          </w:r>
        </w:p>
        <w:p>
          <w:pPr>
            <w:pStyle w:val="Normal"/>
            <w:spacing w:lineRule="auto" w:line="240" w:before="3" w:after="128"/>
            <w:jc w:val="center"/>
            <w:rPr>
              <w:rFonts w:cs="Times New Roman"/>
              <w:szCs w:val="24"/>
            </w:rPr>
          </w:pPr>
          <w:r>
            <w:rPr>
              <w:rFonts w:cs="Times New Roman"/>
              <w:szCs w:val="24"/>
            </w:rPr>
            <w:t>am XX.XX.2021, Freiburg</w:t>
          </w:r>
        </w:p>
        <w:p>
          <w:pPr>
            <w:pStyle w:val="Normal"/>
            <w:spacing w:lineRule="auto" w:line="240" w:before="0" w:after="128"/>
            <w:jc w:val="center"/>
            <w:rPr>
              <w:rFonts w:cs="Times New Roman"/>
              <w:sz w:val="32"/>
              <w:szCs w:val="32"/>
            </w:rPr>
          </w:pPr>
          <w:r>
            <w:rPr>
              <w:rFonts w:cs="Times New Roman"/>
              <w:sz w:val="32"/>
              <w:szCs w:val="32"/>
            </w:rPr>
          </w:r>
        </w:p>
        <w:p>
          <w:pPr>
            <w:pStyle w:val="Normal"/>
            <w:spacing w:lineRule="auto" w:line="240" w:before="0" w:after="128"/>
            <w:jc w:val="center"/>
            <w:rPr>
              <w:rFonts w:cs="Times New Roman"/>
              <w:sz w:val="32"/>
              <w:szCs w:val="32"/>
            </w:rPr>
          </w:pPr>
          <w:r>
            <w:rPr>
              <w:rFonts w:cs="Times New Roman"/>
              <w:sz w:val="32"/>
              <w:szCs w:val="32"/>
            </w:rPr>
          </w:r>
        </w:p>
        <w:p>
          <w:pPr>
            <w:pStyle w:val="Normal"/>
            <w:spacing w:lineRule="auto" w:line="240" w:before="0" w:after="128"/>
            <w:jc w:val="center"/>
            <w:rPr>
              <w:rFonts w:cs="Times New Roman"/>
              <w:sz w:val="32"/>
              <w:szCs w:val="32"/>
            </w:rPr>
          </w:pPr>
          <w:r>
            <w:rPr>
              <w:rFonts w:cs="Times New Roman"/>
              <w:sz w:val="32"/>
              <w:szCs w:val="32"/>
            </w:rPr>
          </w:r>
        </w:p>
        <w:p>
          <w:pPr>
            <w:pStyle w:val="Normal"/>
            <w:spacing w:lineRule="auto" w:line="240" w:before="0" w:after="128"/>
            <w:jc w:val="center"/>
            <w:rPr>
              <w:rFonts w:cs="Times New Roman"/>
              <w:sz w:val="32"/>
              <w:szCs w:val="32"/>
            </w:rPr>
          </w:pPr>
          <w:r>
            <w:rPr>
              <w:rFonts w:cs="Times New Roman"/>
              <w:sz w:val="32"/>
              <w:szCs w:val="32"/>
            </w:rPr>
          </w:r>
        </w:p>
        <w:p>
          <w:pPr>
            <w:pStyle w:val="Normal"/>
            <w:spacing w:lineRule="auto" w:line="240" w:before="0" w:after="128"/>
            <w:jc w:val="center"/>
            <w:rPr>
              <w:rFonts w:cs="Times New Roman"/>
              <w:sz w:val="32"/>
              <w:szCs w:val="32"/>
            </w:rPr>
          </w:pPr>
          <w:r>
            <w:rPr>
              <w:rFonts w:cs="Times New Roman"/>
              <w:sz w:val="32"/>
              <w:szCs w:val="32"/>
            </w:rPr>
          </w:r>
        </w:p>
        <w:p>
          <w:pPr>
            <w:pStyle w:val="Normal"/>
            <w:spacing w:lineRule="auto" w:line="240" w:before="0" w:after="128"/>
            <w:jc w:val="center"/>
            <w:rPr>
              <w:rFonts w:cs="Times New Roman"/>
              <w:sz w:val="32"/>
              <w:szCs w:val="32"/>
            </w:rPr>
          </w:pPr>
          <w:r>
            <w:rPr>
              <w:rFonts w:cs="Times New Roman"/>
              <w:sz w:val="32"/>
              <w:szCs w:val="32"/>
            </w:rPr>
          </w:r>
        </w:p>
        <w:p>
          <w:pPr>
            <w:pStyle w:val="Normal"/>
            <w:spacing w:lineRule="auto" w:line="240" w:before="0" w:after="128"/>
            <w:jc w:val="center"/>
            <w:rPr>
              <w:rFonts w:cs="Times New Roman"/>
              <w:sz w:val="32"/>
              <w:szCs w:val="32"/>
            </w:rPr>
          </w:pPr>
          <w:r>
            <w:rPr>
              <w:rFonts w:cs="Times New Roman"/>
              <w:sz w:val="32"/>
              <w:szCs w:val="32"/>
            </w:rPr>
          </w:r>
        </w:p>
        <w:p>
          <w:pPr>
            <w:pStyle w:val="Normal"/>
            <w:spacing w:lineRule="auto" w:line="240" w:before="0" w:after="128"/>
            <w:ind w:left="288" w:hanging="0"/>
            <w:rPr>
              <w:rFonts w:cs="Times New Roman"/>
            </w:rPr>
          </w:pPr>
          <w:commentRangeStart w:id="0"/>
          <w:r>
            <w:rPr>
              <w:rFonts w:cs="Times New Roman"/>
            </w:rPr>
            <w:t>Erstgutachter</w:t>
          </w:r>
          <w:r>
            <w:rPr>
              <w:rFonts w:cs="Times New Roman"/>
            </w:rPr>
          </w:r>
          <w:commentRangeEnd w:id="0"/>
          <w:r>
            <w:commentReference w:id="0"/>
          </w:r>
          <w:r>
            <w:rPr>
              <w:rFonts w:cs="Times New Roman"/>
            </w:rPr>
            <w:t>:</w:t>
            <w:tab/>
            <w:tab/>
            <w:t>Prof. Dr. Stefan Günther</w:t>
          </w:r>
        </w:p>
        <w:p>
          <w:pPr>
            <w:pStyle w:val="Normal"/>
            <w:spacing w:lineRule="auto" w:line="240" w:before="0" w:after="128"/>
            <w:ind w:left="2266" w:firstLine="566"/>
            <w:rPr>
              <w:rFonts w:cs="Times New Roman"/>
            </w:rPr>
          </w:pPr>
          <w:r>
            <w:rPr>
              <w:rFonts w:cs="Times New Roman"/>
            </w:rPr>
            <w:t xml:space="preserve">Pharmazeutische Bioinformatik, </w:t>
          </w:r>
        </w:p>
        <w:p>
          <w:pPr>
            <w:pStyle w:val="Normal"/>
            <w:spacing w:lineRule="auto" w:line="240" w:before="0" w:after="128"/>
            <w:ind w:left="2266" w:firstLine="566"/>
            <w:rPr>
              <w:rFonts w:cs="Times New Roman"/>
            </w:rPr>
          </w:pPr>
          <w:r>
            <w:rPr>
              <w:rFonts w:cs="Times New Roman"/>
            </w:rPr>
            <w:t>Albert-Ludwigs-Universität Freiburg</w:t>
          </w:r>
        </w:p>
        <w:p>
          <w:pPr>
            <w:pStyle w:val="Normal"/>
            <w:spacing w:lineRule="auto" w:line="240" w:before="0" w:after="128"/>
            <w:ind w:left="288" w:hanging="0"/>
            <w:rPr>
              <w:rFonts w:cs="Times New Roman"/>
            </w:rPr>
          </w:pPr>
          <w:r>
            <w:rPr>
              <w:rFonts w:cs="Times New Roman"/>
            </w:rPr>
            <w:t>Zweitgutachter:</w:t>
            <w:tab/>
            <w:tab/>
            <w:t>Jun.-Prof. Dr. Jennifer Andexer,</w:t>
          </w:r>
        </w:p>
        <w:p>
          <w:pPr>
            <w:pStyle w:val="Normal"/>
            <w:spacing w:lineRule="auto" w:line="240" w:before="0" w:after="128"/>
            <w:ind w:left="288" w:hanging="0"/>
            <w:rPr>
              <w:rFonts w:cs="Times New Roman"/>
            </w:rPr>
          </w:pPr>
          <w:r>
            <w:rPr>
              <w:rFonts w:cs="Times New Roman"/>
            </w:rPr>
            <w:tab/>
            <w:tab/>
            <w:tab/>
            <w:tab/>
            <w:t>Pharmazeutische und Medizinische Chemie,</w:t>
          </w:r>
        </w:p>
        <w:p>
          <w:pPr>
            <w:pStyle w:val="Normal"/>
            <w:spacing w:lineRule="auto" w:line="240" w:before="0" w:after="128"/>
            <w:ind w:left="2266" w:firstLine="566"/>
            <w:rPr>
              <w:rFonts w:cs="Times New Roman"/>
            </w:rPr>
          </w:pPr>
          <w:r>
            <w:rPr>
              <w:rFonts w:cs="Times New Roman"/>
            </w:rPr>
            <w:t>Albert-Ludwigs-Universität Freiburg</w:t>
          </w:r>
        </w:p>
        <w:p>
          <w:pPr>
            <w:pStyle w:val="Normal"/>
            <w:spacing w:lineRule="auto" w:line="240" w:before="0" w:after="128"/>
            <w:ind w:left="288" w:hanging="0"/>
            <w:rPr>
              <w:rFonts w:cs="Times New Roman"/>
            </w:rPr>
          </w:pPr>
          <w:r>
            <w:rPr>
              <w:rFonts w:cs="Times New Roman"/>
            </w:rPr>
            <w:t>Betreuer:</w:t>
            <w:tab/>
            <w:tab/>
            <w:tab/>
            <w:t>Ammar Qaseem,</w:t>
          </w:r>
        </w:p>
        <w:p>
          <w:pPr>
            <w:pStyle w:val="Normal"/>
            <w:spacing w:lineRule="auto" w:line="240" w:before="0" w:after="128"/>
            <w:ind w:left="2266" w:firstLine="566"/>
            <w:rPr>
              <w:rFonts w:cs="Times New Roman"/>
            </w:rPr>
          </w:pPr>
          <w:r>
            <w:rPr>
              <w:rFonts w:cs="Times New Roman"/>
            </w:rPr>
            <w:t xml:space="preserve">Pharmazeutische Bioinformatik, </w:t>
          </w:r>
        </w:p>
        <w:p>
          <w:pPr>
            <w:pStyle w:val="Normal"/>
            <w:spacing w:lineRule="auto" w:line="240" w:before="0" w:after="128"/>
            <w:ind w:left="2266" w:firstLine="566"/>
            <w:rPr>
              <w:rFonts w:cs="Times New Roman"/>
            </w:rPr>
          </w:pPr>
          <w:r>
            <w:rPr>
              <w:rFonts w:cs="Times New Roman"/>
            </w:rPr>
            <w:t>Albert-Ludwigs-Universität Freiburg</w:t>
            <w:tab/>
          </w:r>
        </w:p>
        <w:p>
          <w:pPr>
            <w:pStyle w:val="Normal"/>
            <w:spacing w:lineRule="auto" w:line="240" w:before="0" w:after="128"/>
            <w:rPr>
              <w:rFonts w:cs="Times New Roman"/>
            </w:rPr>
          </w:pPr>
          <w:r>
            <w:rPr>
              <w:rFonts w:cs="Times New Roman"/>
            </w:rPr>
            <w:drawing>
              <wp:anchor behindDoc="0" distT="0" distB="0" distL="114300" distR="0" simplePos="0" locked="0" layoutInCell="1" allowOverlap="1" relativeHeight="3">
                <wp:simplePos x="0" y="0"/>
                <wp:positionH relativeFrom="margin">
                  <wp:align>right</wp:align>
                </wp:positionH>
                <wp:positionV relativeFrom="margin">
                  <wp:align>top</wp:align>
                </wp:positionV>
                <wp:extent cx="1339850" cy="1581150"/>
                <wp:effectExtent l="0" t="0" r="0" b="0"/>
                <wp:wrapSquare wrapText="bothSides"/>
                <wp:docPr id="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
                        <pic:cNvPicPr>
                          <a:picLocks noChangeAspect="1" noChangeArrowheads="1"/>
                        </pic:cNvPicPr>
                      </pic:nvPicPr>
                      <pic:blipFill>
                        <a:blip r:embed="rId3"/>
                        <a:stretch>
                          <a:fillRect/>
                        </a:stretch>
                      </pic:blipFill>
                      <pic:spPr bwMode="auto">
                        <a:xfrm>
                          <a:off x="0" y="0"/>
                          <a:ext cx="1339850" cy="1581150"/>
                        </a:xfrm>
                        <a:prstGeom prst="rect">
                          <a:avLst/>
                        </a:prstGeom>
                      </pic:spPr>
                    </pic:pic>
                  </a:graphicData>
                </a:graphic>
              </wp:anchor>
            </w:drawing>
          </w:r>
        </w:p>
        <w:p>
          <w:pPr>
            <w:pStyle w:val="Normal"/>
            <w:spacing w:lineRule="auto" w:line="240" w:before="0" w:after="128"/>
            <w:rPr>
              <w:rFonts w:cs="Times New Roman"/>
              <w:sz w:val="28"/>
              <w:szCs w:val="24"/>
            </w:rPr>
          </w:pPr>
          <w:r>
            <w:rPr>
              <w:rFonts w:cs="Times New Roman"/>
              <w:sz w:val="28"/>
              <w:szCs w:val="24"/>
            </w:rPr>
            <w:t>Eigenständigkeitserklärung</w:t>
          </w:r>
        </w:p>
        <w:p>
          <w:pPr>
            <w:pStyle w:val="Normal"/>
            <w:spacing w:lineRule="auto" w:line="240" w:before="0" w:after="128"/>
            <w:rPr>
              <w:rFonts w:cs="Times New Roman"/>
              <w:sz w:val="28"/>
              <w:szCs w:val="24"/>
            </w:rPr>
          </w:pPr>
          <w:r>
            <w:rPr>
              <w:rFonts w:cs="Times New Roman"/>
              <w:sz w:val="28"/>
              <w:szCs w:val="24"/>
            </w:rPr>
          </w:r>
        </w:p>
        <w:p>
          <w:pPr>
            <w:pStyle w:val="Normal"/>
            <w:spacing w:lineRule="auto" w:line="240" w:before="0" w:after="128"/>
            <w:rPr>
              <w:rFonts w:cs="Times New Roman"/>
            </w:rPr>
          </w:pPr>
          <w:r>
            <w:rPr>
              <w:rFonts w:cs="Times New Roman"/>
            </w:rPr>
            <w:t xml:space="preserve">Name des Studenten: Manuel Dorer </w:t>
          </w:r>
        </w:p>
        <w:p>
          <w:pPr>
            <w:pStyle w:val="Normal"/>
            <w:spacing w:lineRule="auto" w:line="240" w:before="0" w:after="128"/>
            <w:rPr>
              <w:rFonts w:cs="Times New Roman"/>
            </w:rPr>
          </w:pPr>
          <w:r>
            <w:rPr>
              <w:rFonts w:cs="Times New Roman"/>
            </w:rPr>
            <w:t>Matrikelnummer: 4531053</w:t>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jc w:val="center"/>
            <w:rPr>
              <w:rFonts w:cs="Times New Roman"/>
              <w:i/>
              <w:i/>
              <w:iCs/>
              <w:sz w:val="28"/>
              <w:szCs w:val="24"/>
            </w:rPr>
          </w:pPr>
          <w:r>
            <w:rPr>
              <w:rFonts w:cs="Times New Roman"/>
              <w:i/>
              <w:iCs/>
              <w:sz w:val="28"/>
              <w:szCs w:val="24"/>
            </w:rPr>
            <w:t>ERKLÄRUNG</w:t>
          </w:r>
        </w:p>
        <w:p>
          <w:pPr>
            <w:pStyle w:val="Normal"/>
            <w:spacing w:lineRule="auto" w:line="240" w:before="0" w:after="128"/>
            <w:jc w:val="center"/>
            <w:rPr>
              <w:rFonts w:cs="Times New Roman"/>
              <w:i/>
              <w:i/>
              <w:iCs/>
              <w:sz w:val="28"/>
              <w:szCs w:val="24"/>
            </w:rPr>
          </w:pPr>
          <w:r>
            <w:rPr>
              <w:rFonts w:cs="Times New Roman"/>
              <w:i/>
              <w:iCs/>
              <w:sz w:val="28"/>
              <w:szCs w:val="24"/>
            </w:rPr>
            <w:t xml:space="preserve">zur Abgabe der Bachelor-Arbeit </w:t>
            <w:br/>
            <w:t>im Studiengang B.Sc. Pharmazeutische Wissenschaften</w:t>
          </w:r>
        </w:p>
        <w:p>
          <w:pPr>
            <w:pStyle w:val="Normal"/>
            <w:spacing w:lineRule="auto" w:line="240" w:before="0" w:after="128"/>
            <w:jc w:val="center"/>
            <w:rPr>
              <w:rFonts w:cs="Times New Roman"/>
              <w:i/>
              <w:i/>
              <w:iCs/>
            </w:rPr>
          </w:pPr>
          <w:r>
            <w:rPr>
              <w:rFonts w:cs="Times New Roman"/>
              <w:i/>
              <w:iCs/>
            </w:rPr>
          </w:r>
        </w:p>
        <w:p>
          <w:pPr>
            <w:pStyle w:val="Normal"/>
            <w:spacing w:lineRule="auto" w:line="240" w:before="0" w:after="128"/>
            <w:rPr>
              <w:rFonts w:cs="Times New Roman"/>
            </w:rPr>
          </w:pPr>
          <w:r>
            <w:rPr>
              <w:rFonts w:cs="Times New Roman"/>
            </w:rPr>
            <w:t>Hiermit versichere ich, dass ich die Bachelorarbeit selbstständig verfasst und keine andere als die von mir angegebenen Quellen und Hilfsmittel benutzt habe. Alle Zitate sind gekennzeichnet und alle Abbildungen enthalten nur die originalen Daten und sind in keinem Fall inhaltsverändernder Bildbearbeitung unterzogen worden. Die abgegebene schriftliche und elektronische Fassung sind identisch. Weiterhin versichere ich, dass die Arbeit noch nicht anderweitig als Bachelorarbeit eingereicht wurde.</w:t>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t>............................................</w:t>
            <w:tab/>
            <w:tab/>
            <w:tab/>
            <w:tab/>
            <w:tab/>
            <w:t>........................................................</w:t>
            <w:br/>
          </w:r>
        </w:p>
        <w:p>
          <w:pPr>
            <w:pStyle w:val="Normal"/>
            <w:spacing w:lineRule="auto" w:line="240" w:before="0" w:after="128"/>
            <w:rPr>
              <w:rFonts w:cs="Times New Roman"/>
            </w:rPr>
          </w:pPr>
          <w:r>
            <w:rPr>
              <w:rFonts w:cs="Times New Roman"/>
            </w:rPr>
          </w:r>
        </w:p>
        <w:p>
          <w:pPr>
            <w:sectPr>
              <w:type w:val="nextPage"/>
              <w:pgSz w:w="11906" w:h="16838"/>
              <w:pgMar w:left="1440" w:right="1440" w:header="0" w:top="1440" w:footer="0" w:bottom="1440" w:gutter="0"/>
              <w:pgNumType w:start="1" w:fmt="decimal"/>
              <w:formProt w:val="false"/>
              <w:textDirection w:val="lrTb"/>
              <w:docGrid w:type="default" w:linePitch="360" w:charSpace="4096"/>
            </w:sectPr>
            <w:pStyle w:val="Normal"/>
            <w:spacing w:lineRule="auto" w:line="240" w:before="0" w:after="128"/>
            <w:rPr>
              <w:rFonts w:cs="Times New Roman"/>
            </w:rPr>
          </w:pPr>
          <w:r>
            <w:rPr>
              <w:rFonts w:cs="Times New Roman"/>
            </w:rPr>
            <w:t xml:space="preserve">Ort/Datum </w:t>
            <w:tab/>
            <w:tab/>
            <w:tab/>
            <w:tab/>
            <w:tab/>
            <w:tab/>
            <w:tab/>
            <w:t>Unterschrift des Studenten</w:t>
          </w:r>
        </w:p>
      </w:sdtContent>
    </w:sdt>
    <w:p>
      <w:pPr>
        <w:pStyle w:val="Berschrift1"/>
        <w:numPr>
          <w:ilvl w:val="0"/>
          <w:numId w:val="0"/>
        </w:numPr>
        <w:ind w:left="432" w:hanging="0"/>
        <w:rPr/>
      </w:pPr>
      <w:bookmarkStart w:id="0" w:name="_Toc66981144"/>
      <w:bookmarkStart w:id="1" w:name="_Toc64823196"/>
      <w:bookmarkStart w:id="2" w:name="_Toc66477586"/>
      <w:r>
        <w:rPr/>
        <w:t>Abstract</w:t>
      </w:r>
      <w:bookmarkEnd w:id="0"/>
      <w:bookmarkEnd w:id="1"/>
      <w:bookmarkEnd w:id="2"/>
    </w:p>
    <w:p>
      <w:pPr>
        <w:pStyle w:val="Normal"/>
        <w:rPr/>
      </w:pPr>
      <w:r>
        <w:rPr/>
        <w:t>In recent years, deep learning has garnered tremendous success in a variety of application</w:t>
      </w:r>
    </w:p>
    <w:p>
      <w:pPr>
        <w:pStyle w:val="Normal"/>
        <w:rPr/>
      </w:pPr>
      <w:r>
        <w:rPr/>
        <w:t>domains. This new field of machine learning has been growing rapidly and has been applied to</w:t>
      </w:r>
    </w:p>
    <w:p>
      <w:pPr>
        <w:pStyle w:val="Normal"/>
        <w:rPr/>
      </w:pPr>
      <w:r>
        <w:rPr/>
        <w:t>most traditional application domains, as well as some new areas that present more opportunities.</w:t>
      </w:r>
    </w:p>
    <w:p>
      <w:pPr>
        <w:pStyle w:val="Normal"/>
        <w:rPr/>
      </w:pPr>
      <w:r>
        <w:rPr/>
        <w:t>Different methods have been proposed based on different categories of learning, including</w:t>
      </w:r>
    </w:p>
    <w:p>
      <w:pPr>
        <w:pStyle w:val="Normal"/>
        <w:rPr/>
      </w:pPr>
      <w:r>
        <w:rPr/>
        <w:t>supervised, semi-supervised, and un-supervised learning. Experimental results show state-of-theart</w:t>
      </w:r>
    </w:p>
    <w:p>
      <w:pPr>
        <w:pStyle w:val="Normal"/>
        <w:rPr/>
      </w:pPr>
      <w:r>
        <w:rPr/>
        <w:t>performance using deep learning when compared to traditional machine learning approaches in</w:t>
      </w:r>
    </w:p>
    <w:p>
      <w:pPr>
        <w:pStyle w:val="Normal"/>
        <w:rPr/>
      </w:pPr>
      <w:r>
        <w:rPr/>
        <w:t>the fields of image processing, computer vision, speech recognition, machine translation, art,</w:t>
      </w:r>
    </w:p>
    <w:p>
      <w:pPr>
        <w:pStyle w:val="Normal"/>
        <w:rPr/>
      </w:pPr>
      <w:r>
        <w:rPr/>
        <w:t>medical imaging, medical information processing, robotics and control, bioinformatics, natural</w:t>
      </w:r>
    </w:p>
    <w:p>
      <w:pPr>
        <w:pStyle w:val="Normal"/>
        <w:rPr/>
      </w:pPr>
      <w:r>
        <w:rPr/>
        <w:t>language processing, cybersecurity, and many others. This survey presents a brief survey on the</w:t>
      </w:r>
    </w:p>
    <w:p>
      <w:pPr>
        <w:pStyle w:val="Normal"/>
        <w:rPr/>
      </w:pPr>
      <w:r>
        <w:rPr/>
        <w:t>advances that have occurred in the area of Deep Learning (DL), starting with the Deep Neural</w:t>
      </w:r>
    </w:p>
    <w:p>
      <w:pPr>
        <w:pStyle w:val="Normal"/>
        <w:rPr/>
      </w:pPr>
      <w:r>
        <w:rPr/>
        <w:t>Network (DNN). The survey goes on to cover Convolutional Neural Network (CNN), Recurrent</w:t>
      </w:r>
    </w:p>
    <w:p>
      <w:pPr>
        <w:pStyle w:val="Normal"/>
        <w:rPr/>
      </w:pPr>
      <w:r>
        <w:rPr/>
        <w:t>Neural Network (RNN), including Long Short-Term Memory (LSTM) and Gated Recurrent Units</w:t>
      </w:r>
    </w:p>
    <w:p>
      <w:pPr>
        <w:pStyle w:val="Normal"/>
        <w:rPr/>
      </w:pPr>
      <w:r>
        <w:rPr/>
        <w:t>(GRU), Auto-Encoder (AE), Deep Belief Network (DBN), Generative Adversarial Network (GAN),</w:t>
      </w:r>
    </w:p>
    <w:p>
      <w:pPr>
        <w:pStyle w:val="Normal"/>
        <w:rPr/>
      </w:pPr>
      <w:r>
        <w:rPr/>
        <w:t>and Deep Reinforcement Learning (DRL). Additionally, we have discussed recent developments,</w:t>
      </w:r>
    </w:p>
    <w:p>
      <w:pPr>
        <w:pStyle w:val="Normal"/>
        <w:rPr/>
      </w:pPr>
      <w:r>
        <w:rPr/>
        <w:t>such as advanced variant DL techniques based on these DL approaches. This work considers most</w:t>
      </w:r>
    </w:p>
    <w:p>
      <w:pPr>
        <w:pStyle w:val="Normal"/>
        <w:rPr/>
      </w:pPr>
      <w:r>
        <w:rPr/>
        <w:t>of the papers published after 2012 from when the history of deep learning began. Furthermore, DL</w:t>
      </w:r>
    </w:p>
    <w:p>
      <w:pPr>
        <w:pStyle w:val="Normal"/>
        <w:rPr/>
      </w:pPr>
      <w:r>
        <w:rPr/>
        <w:t>approaches that have been explored and evaluated in different application domains are also</w:t>
      </w:r>
    </w:p>
    <w:p>
      <w:pPr>
        <w:pStyle w:val="Normal"/>
        <w:rPr/>
      </w:pPr>
      <w:r>
        <w:rPr/>
        <w:t>included in this survey. We also included recently developed frameworks, SDKs, and benchmark</w:t>
      </w:r>
    </w:p>
    <w:p>
      <w:pPr>
        <w:pStyle w:val="Normal"/>
        <w:rPr/>
      </w:pPr>
      <w:r>
        <w:rPr/>
        <w:t>datasets that are used for implementing and evaluating deep learning approaches. There are some</w:t>
      </w:r>
    </w:p>
    <w:p>
      <w:pPr>
        <w:pStyle w:val="Normal"/>
        <w:rPr/>
      </w:pPr>
      <w:r>
        <w:rPr/>
        <w:t>surveys that have been published on DL using neural networks and a survey on Reinforcement</w:t>
      </w:r>
    </w:p>
    <w:p>
      <w:pPr>
        <w:pStyle w:val="Normal"/>
        <w:rPr/>
      </w:pPr>
      <w:r>
        <w:rPr/>
        <w:t>Learning (RL). However, those papers have not discussed individual advanced techniques for</w:t>
      </w:r>
    </w:p>
    <w:p>
      <w:pPr>
        <w:pStyle w:val="Normal"/>
        <w:rPr/>
      </w:pPr>
      <w:r>
        <w:rPr/>
        <w:t>training large-scale deep learning models and the recently developed method of generative models.</w:t>
      </w:r>
    </w:p>
    <w:p>
      <w:pPr>
        <w:pStyle w:val="Normal"/>
        <w:rPr/>
      </w:pPr>
      <w:r>
        <w:rPr>
          <w:rFonts w:eastAsia="Wingdings" w:cs="Wingdings" w:ascii="Wingdings" w:hAnsi="Wingdings"/>
        </w:rPr>
        <w:t></w:t>
      </w:r>
      <w:r>
        <w:rPr/>
        <w:t xml:space="preserve"> </w:t>
      </w:r>
      <w:r>
        <w:rPr/>
        <w:t>Heutzutage sind noch viele Datensätze von Hand zusammengestellt</w:t>
      </w:r>
    </w:p>
    <w:p>
      <w:pPr>
        <w:pStyle w:val="Normal"/>
        <w:rPr/>
      </w:pPr>
      <w:r>
        <w:rPr/>
      </w:r>
      <w:r>
        <w:br w:type="page"/>
      </w:r>
    </w:p>
    <w:p>
      <w:pPr>
        <w:pStyle w:val="Berschrift1"/>
        <w:numPr>
          <w:ilvl w:val="0"/>
          <w:numId w:val="0"/>
        </w:numPr>
        <w:tabs>
          <w:tab w:val="left" w:pos="5375" w:leader="none"/>
        </w:tabs>
        <w:ind w:left="432" w:hanging="0"/>
        <w:rPr/>
      </w:pPr>
      <w:bookmarkStart w:id="3" w:name="_Toc64819904"/>
      <w:bookmarkStart w:id="4" w:name="_Toc66981145"/>
      <w:bookmarkStart w:id="5" w:name="_Toc66477587"/>
      <w:r>
        <w:rPr>
          <w:rStyle w:val="Berschrift1Zchn"/>
          <w:b/>
          <w:bCs/>
        </w:rPr>
        <w:t>Inhaltsverzeichnis</w:t>
      </w:r>
      <w:bookmarkEnd w:id="3"/>
      <w:bookmarkEnd w:id="4"/>
      <w:bookmarkEnd w:id="5"/>
      <w:r>
        <w:rPr>
          <w:rStyle w:val="Berschrift1Zchn"/>
          <w:b/>
          <w:bCs/>
        </w:rPr>
        <w:tab/>
      </w:r>
    </w:p>
    <w:sdt>
      <w:sdtPr>
        <w:docPartObj>
          <w:docPartGallery w:val="Table of Contents"/>
          <w:docPartUnique w:val="true"/>
        </w:docPartObj>
        <w:id w:val="1452401526"/>
      </w:sdtPr>
      <w:sdtContent>
        <w:p>
          <w:pPr>
            <w:pStyle w:val="Inhaltsverzeichnis1"/>
            <w:rPr>
              <w:rFonts w:ascii="Calibri" w:hAnsi="Calibri" w:eastAsia="" w:asciiTheme="minorHAnsi" w:eastAsiaTheme="minorEastAsia" w:hAnsiTheme="minorHAnsi"/>
              <w:lang w:eastAsia="de-DE"/>
            </w:rPr>
          </w:pPr>
          <w:r>
            <w:fldChar w:fldCharType="begin"/>
          </w:r>
          <w:r>
            <w:rPr>
              <w:webHidden/>
              <w:rStyle w:val="Verzeichnissprung"/>
              <w:vanish w:val="false"/>
            </w:rPr>
            <w:instrText> TOC \z \o "1-3" \u \h</w:instrText>
          </w:r>
          <w:r>
            <w:rPr>
              <w:webHidden/>
              <w:rStyle w:val="Verzeichnissprung"/>
              <w:vanish w:val="false"/>
            </w:rPr>
            <w:fldChar w:fldCharType="separate"/>
          </w:r>
          <w:hyperlink w:anchor="_Toc66981144">
            <w:r>
              <w:rPr>
                <w:webHidden/>
              </w:rPr>
              <w:fldChar w:fldCharType="begin"/>
            </w:r>
            <w:r>
              <w:rPr>
                <w:webHidden/>
              </w:rPr>
              <w:instrText>PAGEREF _Toc66981144 \h</w:instrText>
            </w:r>
            <w:r>
              <w:rPr>
                <w:webHidden/>
              </w:rPr>
              <w:fldChar w:fldCharType="separate"/>
            </w:r>
            <w:r>
              <w:rPr>
                <w:webHidden/>
                <w:rStyle w:val="Verzeichnissprung"/>
                <w:vanish w:val="false"/>
              </w:rPr>
              <w:t>Abstract</w:t>
              <w:tab/>
              <w:t>i</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6981145">
            <w:r>
              <w:rPr>
                <w:webHidden/>
                <w:rStyle w:val="Verzeichnissprung"/>
                <w:bCs/>
                <w:vanish w:val="false"/>
              </w:rPr>
              <w:t>Inhaltsverzeichnis</w:t>
            </w:r>
            <w:r>
              <w:rPr>
                <w:webHidden/>
              </w:rPr>
              <w:fldChar w:fldCharType="begin"/>
            </w:r>
            <w:r>
              <w:rPr>
                <w:webHidden/>
              </w:rPr>
              <w:instrText>PAGEREF _Toc66981145 \h</w:instrText>
            </w:r>
            <w:r>
              <w:rPr>
                <w:webHidden/>
              </w:rPr>
              <w:fldChar w:fldCharType="separate"/>
            </w:r>
            <w:r>
              <w:rPr>
                <w:rStyle w:val="Verzeichnissprung"/>
                <w:vanish w:val="false"/>
              </w:rPr>
              <w:tab/>
              <w:t>ii</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6981146">
            <w:r>
              <w:rPr>
                <w:webHidden/>
              </w:rPr>
              <w:fldChar w:fldCharType="begin"/>
            </w:r>
            <w:r>
              <w:rPr>
                <w:webHidden/>
              </w:rPr>
              <w:instrText>PAGEREF _Toc66981146 \h</w:instrText>
            </w:r>
            <w:r>
              <w:rPr>
                <w:webHidden/>
              </w:rPr>
              <w:fldChar w:fldCharType="separate"/>
            </w:r>
            <w:r>
              <w:rPr>
                <w:webHidden/>
                <w:rStyle w:val="Verzeichnissprung"/>
                <w:vanish w:val="false"/>
              </w:rPr>
              <w:t>Abbildungsverzeichnis</w:t>
              <w:tab/>
              <w:t>iii</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6981147">
            <w:r>
              <w:rPr>
                <w:webHidden/>
              </w:rPr>
              <w:fldChar w:fldCharType="begin"/>
            </w:r>
            <w:r>
              <w:rPr>
                <w:webHidden/>
              </w:rPr>
              <w:instrText>PAGEREF _Toc66981147 \h</w:instrText>
            </w:r>
            <w:r>
              <w:rPr>
                <w:webHidden/>
              </w:rPr>
              <w:fldChar w:fldCharType="separate"/>
            </w:r>
            <w:r>
              <w:rPr>
                <w:webHidden/>
                <w:rStyle w:val="Verzeichnissprung"/>
                <w:vanish w:val="false"/>
              </w:rPr>
              <w:t>Tabellenverzeichnis</w:t>
              <w:tab/>
              <w:t>iv</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6981148">
            <w:r>
              <w:rPr>
                <w:webHidden/>
              </w:rPr>
              <w:fldChar w:fldCharType="begin"/>
            </w:r>
            <w:r>
              <w:rPr>
                <w:webHidden/>
              </w:rPr>
              <w:instrText>PAGEREF _Toc66981148 \h</w:instrText>
            </w:r>
            <w:r>
              <w:rPr>
                <w:webHidden/>
              </w:rPr>
              <w:fldChar w:fldCharType="separate"/>
            </w:r>
            <w:r>
              <w:rPr>
                <w:webHidden/>
                <w:rStyle w:val="Verzeichnissprung"/>
                <w:vanish w:val="false"/>
              </w:rPr>
              <w:t>Abkürzungsverzeichnis</w:t>
              <w:tab/>
              <w:t>v</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6981149">
            <w:r>
              <w:rPr>
                <w:webHidden/>
                <w:rStyle w:val="Verzeichnissprung"/>
                <w:vanish w:val="false"/>
              </w:rPr>
              <w:t>1</w:t>
            </w:r>
            <w:r>
              <w:rPr>
                <w:rStyle w:val="Verzeichnissprung"/>
                <w:rFonts w:eastAsia="" w:ascii="Calibri" w:hAnsi="Calibri" w:asciiTheme="minorHAnsi" w:eastAsiaTheme="minorEastAsia" w:hAnsiTheme="minorHAnsi"/>
                <w:lang w:eastAsia="de-DE"/>
              </w:rPr>
              <w:tab/>
            </w:r>
            <w:r>
              <w:rPr>
                <w:rStyle w:val="Verzeichnissprung"/>
              </w:rPr>
              <w:t>Einleitung</w:t>
            </w:r>
            <w:r>
              <w:rPr>
                <w:webHidden/>
              </w:rPr>
              <w:fldChar w:fldCharType="begin"/>
            </w:r>
            <w:r>
              <w:rPr>
                <w:webHidden/>
              </w:rPr>
              <w:instrText>PAGEREF _Toc66981149 \h</w:instrText>
            </w:r>
            <w:r>
              <w:rPr>
                <w:webHidden/>
              </w:rPr>
              <w:fldChar w:fldCharType="separate"/>
            </w:r>
            <w:r>
              <w:rPr>
                <w:rStyle w:val="Verzeichnissprung"/>
                <w:vanish w:val="false"/>
              </w:rPr>
              <w:tab/>
              <w:t>1</w:t>
            </w:r>
            <w:r>
              <w:rPr>
                <w:webHidden/>
              </w:rPr>
              <w:fldChar w:fldCharType="end"/>
            </w:r>
          </w:hyperlink>
        </w:p>
        <w:p>
          <w:pPr>
            <w:pStyle w:val="Inhaltsverzeichnis2"/>
            <w:rPr>
              <w:rFonts w:ascii="Calibri" w:hAnsi="Calibri" w:eastAsia="" w:asciiTheme="minorHAnsi" w:eastAsiaTheme="minorEastAsia" w:hAnsiTheme="minorHAnsi"/>
              <w:lang w:eastAsia="de-DE"/>
            </w:rPr>
          </w:pPr>
          <w:hyperlink w:anchor="_Toc66981150">
            <w:r>
              <w:rPr>
                <w:webHidden/>
                <w:rStyle w:val="Verzeichnissprung"/>
                <w:vanish w:val="false"/>
              </w:rPr>
              <w:t>1.1</w:t>
            </w:r>
            <w:r>
              <w:rPr>
                <w:rStyle w:val="Verzeichnissprung"/>
                <w:rFonts w:eastAsia="" w:ascii="Calibri" w:hAnsi="Calibri" w:asciiTheme="minorHAnsi" w:eastAsiaTheme="minorEastAsia" w:hAnsiTheme="minorHAnsi"/>
                <w:lang w:eastAsia="de-DE"/>
              </w:rPr>
              <w:tab/>
            </w:r>
            <w:r>
              <w:rPr>
                <w:rStyle w:val="Verzeichnissprung"/>
              </w:rPr>
              <w:t>Begriffe aus dem Feld der KI</w:t>
            </w:r>
            <w:r>
              <w:rPr>
                <w:webHidden/>
              </w:rPr>
              <w:fldChar w:fldCharType="begin"/>
            </w:r>
            <w:r>
              <w:rPr>
                <w:webHidden/>
              </w:rPr>
              <w:instrText>PAGEREF _Toc66981150 \h</w:instrText>
            </w:r>
            <w:r>
              <w:rPr>
                <w:webHidden/>
              </w:rPr>
              <w:fldChar w:fldCharType="separate"/>
            </w:r>
            <w:r>
              <w:rPr>
                <w:rStyle w:val="Verzeichnissprung"/>
                <w:vanish w:val="false"/>
              </w:rPr>
              <w:tab/>
              <w:t>1</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6981151">
            <w:r>
              <w:rPr>
                <w:webHidden/>
                <w:rStyle w:val="Verzeichnissprung"/>
                <w:vanish w:val="false"/>
              </w:rPr>
              <w:t>1.1.1</w:t>
            </w:r>
            <w:r>
              <w:rPr>
                <w:rStyle w:val="Verzeichnissprung"/>
                <w:rFonts w:eastAsia="" w:ascii="Calibri" w:hAnsi="Calibri" w:asciiTheme="minorHAnsi" w:eastAsiaTheme="minorEastAsia" w:hAnsiTheme="minorHAnsi"/>
                <w:lang w:eastAsia="de-DE"/>
              </w:rPr>
              <w:tab/>
            </w:r>
            <w:r>
              <w:rPr>
                <w:rStyle w:val="Verzeichnissprung"/>
              </w:rPr>
              <w:t>KI</w:t>
            </w:r>
            <w:r>
              <w:rPr>
                <w:webHidden/>
              </w:rPr>
              <w:fldChar w:fldCharType="begin"/>
            </w:r>
            <w:r>
              <w:rPr>
                <w:webHidden/>
              </w:rPr>
              <w:instrText>PAGEREF _Toc66981151 \h</w:instrText>
            </w:r>
            <w:r>
              <w:rPr>
                <w:webHidden/>
              </w:rPr>
              <w:fldChar w:fldCharType="separate"/>
            </w:r>
            <w:r>
              <w:rPr>
                <w:rStyle w:val="Verzeichnissprung"/>
                <w:vanish w:val="false"/>
              </w:rPr>
              <w:tab/>
              <w:t>1</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6981152">
            <w:r>
              <w:rPr>
                <w:webHidden/>
                <w:rStyle w:val="Verzeichnissprung"/>
                <w:vanish w:val="false"/>
              </w:rPr>
              <w:t>1.1.2</w:t>
            </w:r>
            <w:r>
              <w:rPr>
                <w:rStyle w:val="Verzeichnissprung"/>
                <w:rFonts w:eastAsia="" w:ascii="Calibri" w:hAnsi="Calibri" w:asciiTheme="minorHAnsi" w:eastAsiaTheme="minorEastAsia" w:hAnsiTheme="minorHAnsi"/>
                <w:lang w:eastAsia="de-DE"/>
              </w:rPr>
              <w:tab/>
            </w:r>
            <w:r>
              <w:rPr>
                <w:rStyle w:val="Verzeichnissprung"/>
                <w:shd w:fill="FFFFFF" w:val="clear"/>
              </w:rPr>
              <w:t>maschinelles Lernen</w:t>
            </w:r>
            <w:r>
              <w:rPr>
                <w:webHidden/>
              </w:rPr>
              <w:fldChar w:fldCharType="begin"/>
            </w:r>
            <w:r>
              <w:rPr>
                <w:webHidden/>
              </w:rPr>
              <w:instrText>PAGEREF _Toc66981152 \h</w:instrText>
            </w:r>
            <w:r>
              <w:rPr>
                <w:webHidden/>
              </w:rPr>
              <w:fldChar w:fldCharType="separate"/>
            </w:r>
            <w:r>
              <w:rPr>
                <w:rStyle w:val="Verzeichnissprung"/>
                <w:vanish w:val="false"/>
              </w:rPr>
              <w:tab/>
              <w:t>2</w:t>
            </w:r>
            <w:r>
              <w:rPr>
                <w:webHidden/>
              </w:rPr>
              <w:fldChar w:fldCharType="end"/>
            </w:r>
          </w:hyperlink>
        </w:p>
        <w:p>
          <w:pPr>
            <w:pStyle w:val="Inhaltsverzeichnis2"/>
            <w:rPr>
              <w:rFonts w:ascii="Calibri" w:hAnsi="Calibri" w:eastAsia="" w:asciiTheme="minorHAnsi" w:eastAsiaTheme="minorEastAsia" w:hAnsiTheme="minorHAnsi"/>
              <w:lang w:eastAsia="de-DE"/>
            </w:rPr>
          </w:pPr>
          <w:hyperlink w:anchor="_Toc66981153">
            <w:r>
              <w:rPr>
                <w:webHidden/>
                <w:rStyle w:val="Verzeichnissprung"/>
                <w:vanish w:val="false"/>
              </w:rPr>
              <w:t>1.2</w:t>
            </w:r>
            <w:r>
              <w:rPr>
                <w:rStyle w:val="Verzeichnissprung"/>
                <w:rFonts w:eastAsia="" w:ascii="Calibri" w:hAnsi="Calibri" w:asciiTheme="minorHAnsi" w:eastAsiaTheme="minorEastAsia" w:hAnsiTheme="minorHAnsi"/>
                <w:lang w:eastAsia="de-DE"/>
              </w:rPr>
              <w:tab/>
            </w:r>
            <w:r>
              <w:rPr>
                <w:rStyle w:val="Verzeichnissprung"/>
              </w:rPr>
              <w:t>Wirkstoffsuche im Zeitalter von Big Data</w:t>
            </w:r>
            <w:r>
              <w:rPr>
                <w:webHidden/>
              </w:rPr>
              <w:fldChar w:fldCharType="begin"/>
            </w:r>
            <w:r>
              <w:rPr>
                <w:webHidden/>
              </w:rPr>
              <w:instrText>PAGEREF _Toc66981153 \h</w:instrText>
            </w:r>
            <w:r>
              <w:rPr>
                <w:webHidden/>
              </w:rPr>
              <w:fldChar w:fldCharType="separate"/>
            </w:r>
            <w:r>
              <w:rPr>
                <w:rStyle w:val="Verzeichnissprung"/>
                <w:vanish w:val="false"/>
              </w:rPr>
              <w:tab/>
              <w:t>11</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6981154">
            <w:r>
              <w:rPr>
                <w:webHidden/>
                <w:rStyle w:val="Verzeichnissprung"/>
                <w:vanish w:val="false"/>
              </w:rPr>
              <w:t>1.2.1</w:t>
            </w:r>
            <w:r>
              <w:rPr>
                <w:rStyle w:val="Verzeichnissprung"/>
                <w:rFonts w:eastAsia="" w:ascii="Calibri" w:hAnsi="Calibri" w:asciiTheme="minorHAnsi" w:eastAsiaTheme="minorEastAsia" w:hAnsiTheme="minorHAnsi"/>
                <w:lang w:eastAsia="de-DE"/>
              </w:rPr>
              <w:tab/>
            </w:r>
            <w:r>
              <w:rPr>
                <w:rStyle w:val="Verzeichnissprung"/>
              </w:rPr>
              <w:t>klassischer Weg</w:t>
            </w:r>
            <w:r>
              <w:rPr>
                <w:webHidden/>
              </w:rPr>
              <w:fldChar w:fldCharType="begin"/>
            </w:r>
            <w:r>
              <w:rPr>
                <w:webHidden/>
              </w:rPr>
              <w:instrText>PAGEREF _Toc66981154 \h</w:instrText>
            </w:r>
            <w:r>
              <w:rPr>
                <w:webHidden/>
              </w:rPr>
              <w:fldChar w:fldCharType="separate"/>
            </w:r>
            <w:r>
              <w:rPr>
                <w:rStyle w:val="Verzeichnissprung"/>
                <w:vanish w:val="false"/>
              </w:rPr>
              <w:tab/>
              <w:t>11</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6981155">
            <w:r>
              <w:rPr>
                <w:webHidden/>
                <w:rStyle w:val="Verzeichnissprung"/>
                <w:vanish w:val="false"/>
              </w:rPr>
              <w:t>1.2.2</w:t>
            </w:r>
            <w:r>
              <w:rPr>
                <w:rStyle w:val="Verzeichnissprung"/>
                <w:rFonts w:eastAsia="" w:ascii="Calibri" w:hAnsi="Calibri" w:asciiTheme="minorHAnsi" w:eastAsiaTheme="minorEastAsia" w:hAnsiTheme="minorHAnsi"/>
                <w:lang w:eastAsia="de-DE"/>
              </w:rPr>
              <w:tab/>
            </w:r>
            <w:r>
              <w:rPr>
                <w:rStyle w:val="Verzeichnissprung"/>
              </w:rPr>
              <w:t>virtuelles Screening</w:t>
            </w:r>
            <w:r>
              <w:rPr>
                <w:webHidden/>
              </w:rPr>
              <w:fldChar w:fldCharType="begin"/>
            </w:r>
            <w:r>
              <w:rPr>
                <w:webHidden/>
              </w:rPr>
              <w:instrText>PAGEREF _Toc66981155 \h</w:instrText>
            </w:r>
            <w:r>
              <w:rPr>
                <w:webHidden/>
              </w:rPr>
              <w:fldChar w:fldCharType="separate"/>
            </w:r>
            <w:r>
              <w:rPr>
                <w:rStyle w:val="Verzeichnissprung"/>
                <w:vanish w:val="false"/>
              </w:rPr>
              <w:tab/>
              <w:t>11</w:t>
            </w:r>
            <w:r>
              <w:rPr>
                <w:webHidden/>
              </w:rPr>
              <w:fldChar w:fldCharType="end"/>
            </w:r>
          </w:hyperlink>
        </w:p>
        <w:p>
          <w:pPr>
            <w:pStyle w:val="Inhaltsverzeichnis2"/>
            <w:rPr>
              <w:rFonts w:ascii="Calibri" w:hAnsi="Calibri" w:eastAsia="" w:asciiTheme="minorHAnsi" w:eastAsiaTheme="minorEastAsia" w:hAnsiTheme="minorHAnsi"/>
              <w:lang w:eastAsia="de-DE"/>
            </w:rPr>
          </w:pPr>
          <w:hyperlink w:anchor="_Toc66981156">
            <w:r>
              <w:rPr>
                <w:webHidden/>
                <w:rStyle w:val="Verzeichnissprung"/>
                <w:vanish w:val="false"/>
              </w:rPr>
              <w:t>1.3</w:t>
            </w:r>
            <w:r>
              <w:rPr>
                <w:rStyle w:val="Verzeichnissprung"/>
                <w:rFonts w:eastAsia="" w:ascii="Calibri" w:hAnsi="Calibri" w:asciiTheme="minorHAnsi" w:eastAsiaTheme="minorEastAsia" w:hAnsiTheme="minorHAnsi"/>
                <w:lang w:eastAsia="de-DE"/>
              </w:rPr>
              <w:tab/>
            </w:r>
            <w:r>
              <w:rPr>
                <w:rStyle w:val="Verzeichnissprung"/>
              </w:rPr>
              <w:t>CPI Text Mining</w:t>
            </w:r>
            <w:r>
              <w:rPr>
                <w:webHidden/>
              </w:rPr>
              <w:fldChar w:fldCharType="begin"/>
            </w:r>
            <w:r>
              <w:rPr>
                <w:webHidden/>
              </w:rPr>
              <w:instrText>PAGEREF _Toc66981156 \h</w:instrText>
            </w:r>
            <w:r>
              <w:rPr>
                <w:webHidden/>
              </w:rPr>
              <w:fldChar w:fldCharType="separate"/>
            </w:r>
            <w:r>
              <w:rPr>
                <w:rStyle w:val="Verzeichnissprung"/>
                <w:vanish w:val="false"/>
              </w:rPr>
              <w:tab/>
              <w:t>12</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6981157">
            <w:r>
              <w:rPr>
                <w:webHidden/>
                <w:rStyle w:val="Verzeichnissprung"/>
                <w:vanish w:val="false"/>
              </w:rPr>
              <w:t>1.3.1</w:t>
            </w:r>
            <w:r>
              <w:rPr>
                <w:rStyle w:val="Verzeichnissprung"/>
                <w:rFonts w:eastAsia="" w:ascii="Calibri" w:hAnsi="Calibri" w:asciiTheme="minorHAnsi" w:eastAsiaTheme="minorEastAsia" w:hAnsiTheme="minorHAnsi"/>
                <w:lang w:eastAsia="de-DE"/>
              </w:rPr>
              <w:tab/>
            </w:r>
            <w:r>
              <w:rPr>
                <w:rStyle w:val="Verzeichnissprung"/>
              </w:rPr>
              <w:t>Historie von RE Text Mining mit Blick auf CPI Text Mining</w:t>
            </w:r>
            <w:r>
              <w:rPr>
                <w:webHidden/>
              </w:rPr>
              <w:fldChar w:fldCharType="begin"/>
            </w:r>
            <w:r>
              <w:rPr>
                <w:webHidden/>
              </w:rPr>
              <w:instrText>PAGEREF _Toc66981157 \h</w:instrText>
            </w:r>
            <w:r>
              <w:rPr>
                <w:webHidden/>
              </w:rPr>
              <w:fldChar w:fldCharType="separate"/>
            </w:r>
            <w:r>
              <w:rPr>
                <w:rStyle w:val="Verzeichnissprung"/>
                <w:vanish w:val="false"/>
              </w:rPr>
              <w:tab/>
              <w:t>13</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6981158">
            <w:r>
              <w:rPr>
                <w:webHidden/>
                <w:rStyle w:val="Verzeichnissprung"/>
                <w:vanish w:val="false"/>
              </w:rPr>
              <w:t>2</w:t>
            </w:r>
            <w:r>
              <w:rPr>
                <w:rStyle w:val="Verzeichnissprung"/>
                <w:rFonts w:eastAsia="" w:ascii="Calibri" w:hAnsi="Calibri" w:asciiTheme="minorHAnsi" w:eastAsiaTheme="minorEastAsia" w:hAnsiTheme="minorHAnsi"/>
                <w:lang w:eastAsia="de-DE"/>
              </w:rPr>
              <w:tab/>
            </w:r>
            <w:r>
              <w:rPr>
                <w:rStyle w:val="Verzeichnissprung"/>
              </w:rPr>
              <w:t>Zielsetzung der Arbeit</w:t>
            </w:r>
            <w:r>
              <w:rPr>
                <w:webHidden/>
              </w:rPr>
              <w:fldChar w:fldCharType="begin"/>
            </w:r>
            <w:r>
              <w:rPr>
                <w:webHidden/>
              </w:rPr>
              <w:instrText>PAGEREF _Toc66981158 \h</w:instrText>
            </w:r>
            <w:r>
              <w:rPr>
                <w:webHidden/>
              </w:rPr>
              <w:fldChar w:fldCharType="separate"/>
            </w:r>
            <w:r>
              <w:rPr>
                <w:rStyle w:val="Verzeichnissprung"/>
                <w:vanish w:val="false"/>
              </w:rPr>
              <w:tab/>
              <w:t>17</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6981159">
            <w:r>
              <w:rPr>
                <w:webHidden/>
                <w:rStyle w:val="Verzeichnissprung"/>
                <w:vanish w:val="false"/>
              </w:rPr>
              <w:t>3</w:t>
            </w:r>
            <w:r>
              <w:rPr>
                <w:rStyle w:val="Verzeichnissprung"/>
                <w:rFonts w:eastAsia="" w:ascii="Calibri" w:hAnsi="Calibri" w:asciiTheme="minorHAnsi" w:eastAsiaTheme="minorEastAsia" w:hAnsiTheme="minorHAnsi"/>
                <w:lang w:eastAsia="de-DE"/>
              </w:rPr>
              <w:tab/>
            </w:r>
            <w:r>
              <w:rPr>
                <w:rStyle w:val="Verzeichnissprung"/>
              </w:rPr>
              <w:t>Material und Methoden</w:t>
            </w:r>
            <w:r>
              <w:rPr>
                <w:webHidden/>
              </w:rPr>
              <w:fldChar w:fldCharType="begin"/>
            </w:r>
            <w:r>
              <w:rPr>
                <w:webHidden/>
              </w:rPr>
              <w:instrText>PAGEREF _Toc66981159 \h</w:instrText>
            </w:r>
            <w:r>
              <w:rPr>
                <w:webHidden/>
              </w:rPr>
              <w:fldChar w:fldCharType="separate"/>
            </w:r>
            <w:r>
              <w:rPr>
                <w:rStyle w:val="Verzeichnissprung"/>
                <w:vanish w:val="false"/>
              </w:rPr>
              <w:tab/>
              <w:t>18</w:t>
            </w:r>
            <w:r>
              <w:rPr>
                <w:webHidden/>
              </w:rPr>
              <w:fldChar w:fldCharType="end"/>
            </w:r>
          </w:hyperlink>
        </w:p>
        <w:p>
          <w:pPr>
            <w:pStyle w:val="Inhaltsverzeichnis2"/>
            <w:rPr>
              <w:rFonts w:ascii="Calibri" w:hAnsi="Calibri" w:eastAsia="" w:asciiTheme="minorHAnsi" w:eastAsiaTheme="minorEastAsia" w:hAnsiTheme="minorHAnsi"/>
              <w:lang w:eastAsia="de-DE"/>
            </w:rPr>
          </w:pPr>
          <w:hyperlink w:anchor="_Toc66981160">
            <w:r>
              <w:rPr>
                <w:webHidden/>
                <w:rStyle w:val="Verzeichnissprung"/>
                <w:vanish w:val="false"/>
              </w:rPr>
              <w:t>3.1</w:t>
            </w:r>
            <w:r>
              <w:rPr>
                <w:rStyle w:val="Verzeichnissprung"/>
                <w:rFonts w:eastAsia="" w:ascii="Calibri" w:hAnsi="Calibri" w:asciiTheme="minorHAnsi" w:eastAsiaTheme="minorEastAsia" w:hAnsiTheme="minorHAnsi"/>
                <w:lang w:eastAsia="de-DE"/>
              </w:rPr>
              <w:tab/>
            </w:r>
            <w:r>
              <w:rPr>
                <w:rStyle w:val="Verzeichnissprung"/>
              </w:rPr>
              <w:t>Grundlagen</w:t>
            </w:r>
            <w:r>
              <w:rPr>
                <w:webHidden/>
              </w:rPr>
              <w:fldChar w:fldCharType="begin"/>
            </w:r>
            <w:r>
              <w:rPr>
                <w:webHidden/>
              </w:rPr>
              <w:instrText>PAGEREF _Toc66981160 \h</w:instrText>
            </w:r>
            <w:r>
              <w:rPr>
                <w:webHidden/>
              </w:rPr>
              <w:fldChar w:fldCharType="separate"/>
            </w:r>
            <w:r>
              <w:rPr>
                <w:rStyle w:val="Verzeichnissprung"/>
                <w:vanish w:val="false"/>
              </w:rPr>
              <w:tab/>
              <w:t>18</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6981161">
            <w:r>
              <w:rPr>
                <w:webHidden/>
                <w:rStyle w:val="Verzeichnissprung"/>
                <w:vanish w:val="false"/>
              </w:rPr>
              <w:t>3.1.1</w:t>
            </w:r>
            <w:r>
              <w:rPr>
                <w:rStyle w:val="Verzeichnissprung"/>
                <w:rFonts w:eastAsia="" w:ascii="Calibri" w:hAnsi="Calibri" w:asciiTheme="minorHAnsi" w:eastAsiaTheme="minorEastAsia" w:hAnsiTheme="minorHAnsi"/>
                <w:lang w:eastAsia="de-DE"/>
              </w:rPr>
              <w:tab/>
            </w:r>
            <w:r>
              <w:rPr>
                <w:rStyle w:val="Verzeichnissprung"/>
              </w:rPr>
              <w:t>Systemeigenschaften</w:t>
            </w:r>
            <w:r>
              <w:rPr>
                <w:webHidden/>
              </w:rPr>
              <w:fldChar w:fldCharType="begin"/>
            </w:r>
            <w:r>
              <w:rPr>
                <w:webHidden/>
              </w:rPr>
              <w:instrText>PAGEREF _Toc66981161 \h</w:instrText>
            </w:r>
            <w:r>
              <w:rPr>
                <w:webHidden/>
              </w:rPr>
              <w:fldChar w:fldCharType="separate"/>
            </w:r>
            <w:r>
              <w:rPr>
                <w:rStyle w:val="Verzeichnissprung"/>
                <w:vanish w:val="false"/>
              </w:rPr>
              <w:tab/>
              <w:t>18</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6981162">
            <w:r>
              <w:rPr>
                <w:webHidden/>
                <w:rStyle w:val="Verzeichnissprung"/>
                <w:vanish w:val="false"/>
              </w:rPr>
              <w:t>3.1.2</w:t>
            </w:r>
            <w:r>
              <w:rPr>
                <w:rStyle w:val="Verzeichnissprung"/>
                <w:rFonts w:eastAsia="" w:ascii="Calibri" w:hAnsi="Calibri" w:asciiTheme="minorHAnsi" w:eastAsiaTheme="minorEastAsia" w:hAnsiTheme="minorHAnsi"/>
                <w:lang w:eastAsia="de-DE"/>
              </w:rPr>
              <w:tab/>
            </w:r>
            <w:r>
              <w:rPr>
                <w:rStyle w:val="Verzeichnissprung"/>
              </w:rPr>
              <w:t>Verwendete Software</w:t>
            </w:r>
            <w:r>
              <w:rPr>
                <w:webHidden/>
              </w:rPr>
              <w:fldChar w:fldCharType="begin"/>
            </w:r>
            <w:r>
              <w:rPr>
                <w:webHidden/>
              </w:rPr>
              <w:instrText>PAGEREF _Toc66981162 \h</w:instrText>
            </w:r>
            <w:r>
              <w:rPr>
                <w:webHidden/>
              </w:rPr>
              <w:fldChar w:fldCharType="separate"/>
            </w:r>
            <w:r>
              <w:rPr>
                <w:rStyle w:val="Verzeichnissprung"/>
                <w:vanish w:val="false"/>
              </w:rPr>
              <w:tab/>
              <w:t>18</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6981163">
            <w:r>
              <w:rPr>
                <w:webHidden/>
                <w:rStyle w:val="Verzeichnissprung"/>
                <w:vanish w:val="false"/>
              </w:rPr>
              <w:t>3.1.3</w:t>
            </w:r>
            <w:r>
              <w:rPr>
                <w:rStyle w:val="Verzeichnissprung"/>
                <w:rFonts w:eastAsia="" w:ascii="Calibri" w:hAnsi="Calibri" w:asciiTheme="minorHAnsi" w:eastAsiaTheme="minorEastAsia" w:hAnsiTheme="minorHAnsi"/>
                <w:lang w:eastAsia="de-DE"/>
              </w:rPr>
              <w:tab/>
            </w:r>
            <w:r>
              <w:rPr>
                <w:rStyle w:val="Verzeichnissprung"/>
              </w:rPr>
              <w:t>Verwendeter Datensatz</w:t>
            </w:r>
            <w:r>
              <w:rPr>
                <w:webHidden/>
              </w:rPr>
              <w:fldChar w:fldCharType="begin"/>
            </w:r>
            <w:r>
              <w:rPr>
                <w:webHidden/>
              </w:rPr>
              <w:instrText>PAGEREF _Toc66981163 \h</w:instrText>
            </w:r>
            <w:r>
              <w:rPr>
                <w:webHidden/>
              </w:rPr>
              <w:fldChar w:fldCharType="separate"/>
            </w:r>
            <w:r>
              <w:rPr>
                <w:rStyle w:val="Verzeichnissprung"/>
                <w:vanish w:val="false"/>
              </w:rPr>
              <w:tab/>
              <w:t>19</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6981164">
            <w:r>
              <w:rPr>
                <w:webHidden/>
                <w:rStyle w:val="Verzeichnissprung"/>
                <w:vanish w:val="false"/>
              </w:rPr>
              <w:t>3.1.4</w:t>
            </w:r>
            <w:r>
              <w:rPr>
                <w:rStyle w:val="Verzeichnissprung"/>
                <w:rFonts w:eastAsia="" w:ascii="Calibri" w:hAnsi="Calibri" w:asciiTheme="minorHAnsi" w:eastAsiaTheme="minorEastAsia" w:hAnsiTheme="minorHAnsi"/>
                <w:lang w:eastAsia="de-DE"/>
              </w:rPr>
              <w:tab/>
            </w:r>
            <w:r>
              <w:rPr>
                <w:rStyle w:val="Verzeichnissprung"/>
              </w:rPr>
              <w:t>Parameter zur Bewertung von Modellen</w:t>
            </w:r>
            <w:r>
              <w:rPr>
                <w:webHidden/>
              </w:rPr>
              <w:fldChar w:fldCharType="begin"/>
            </w:r>
            <w:r>
              <w:rPr>
                <w:webHidden/>
              </w:rPr>
              <w:instrText>PAGEREF _Toc66981164 \h</w:instrText>
            </w:r>
            <w:r>
              <w:rPr>
                <w:webHidden/>
              </w:rPr>
              <w:fldChar w:fldCharType="separate"/>
            </w:r>
            <w:r>
              <w:rPr>
                <w:rStyle w:val="Verzeichnissprung"/>
                <w:vanish w:val="false"/>
              </w:rPr>
              <w:tab/>
              <w:t>19</w:t>
            </w:r>
            <w:r>
              <w:rPr>
                <w:webHidden/>
              </w:rPr>
              <w:fldChar w:fldCharType="end"/>
            </w:r>
          </w:hyperlink>
        </w:p>
        <w:p>
          <w:pPr>
            <w:pStyle w:val="Inhaltsverzeichnis2"/>
            <w:rPr>
              <w:rFonts w:ascii="Calibri" w:hAnsi="Calibri" w:eastAsia="" w:asciiTheme="minorHAnsi" w:eastAsiaTheme="minorEastAsia" w:hAnsiTheme="minorHAnsi"/>
              <w:lang w:eastAsia="de-DE"/>
            </w:rPr>
          </w:pPr>
          <w:hyperlink w:anchor="_Toc66981165">
            <w:r>
              <w:rPr>
                <w:webHidden/>
                <w:rStyle w:val="Verzeichnissprung"/>
                <w:vanish w:val="false"/>
              </w:rPr>
              <w:t>3.2</w:t>
            </w:r>
            <w:r>
              <w:rPr>
                <w:rStyle w:val="Verzeichnissprung"/>
                <w:rFonts w:eastAsia="" w:ascii="Calibri" w:hAnsi="Calibri" w:asciiTheme="minorHAnsi" w:eastAsiaTheme="minorEastAsia" w:hAnsiTheme="minorHAnsi"/>
                <w:lang w:eastAsia="de-DE"/>
              </w:rPr>
              <w:tab/>
            </w:r>
            <w:r>
              <w:rPr>
                <w:rStyle w:val="Verzeichnissprung"/>
              </w:rPr>
              <w:t>Datensatzpräparation</w:t>
            </w:r>
            <w:r>
              <w:rPr>
                <w:webHidden/>
              </w:rPr>
              <w:fldChar w:fldCharType="begin"/>
            </w:r>
            <w:r>
              <w:rPr>
                <w:webHidden/>
              </w:rPr>
              <w:instrText>PAGEREF _Toc66981165 \h</w:instrText>
            </w:r>
            <w:r>
              <w:rPr>
                <w:webHidden/>
              </w:rPr>
              <w:fldChar w:fldCharType="separate"/>
            </w:r>
            <w:r>
              <w:rPr>
                <w:rStyle w:val="Verzeichnissprung"/>
                <w:vanish w:val="false"/>
              </w:rPr>
              <w:tab/>
              <w:t>21</w:t>
            </w:r>
            <w:r>
              <w:rPr>
                <w:webHidden/>
              </w:rPr>
              <w:fldChar w:fldCharType="end"/>
            </w:r>
          </w:hyperlink>
        </w:p>
        <w:p>
          <w:pPr>
            <w:pStyle w:val="Inhaltsverzeichnis2"/>
            <w:rPr>
              <w:rFonts w:ascii="Calibri" w:hAnsi="Calibri" w:eastAsia="" w:asciiTheme="minorHAnsi" w:eastAsiaTheme="minorEastAsia" w:hAnsiTheme="minorHAnsi"/>
              <w:lang w:eastAsia="de-DE"/>
            </w:rPr>
          </w:pPr>
          <w:hyperlink w:anchor="_Toc66981166">
            <w:r>
              <w:rPr>
                <w:webHidden/>
                <w:rStyle w:val="Verzeichnissprung"/>
                <w:vanish w:val="false"/>
              </w:rPr>
              <w:t>3.3</w:t>
            </w:r>
            <w:r>
              <w:rPr>
                <w:rStyle w:val="Verzeichnissprung"/>
                <w:rFonts w:eastAsia="" w:ascii="Calibri" w:hAnsi="Calibri" w:asciiTheme="minorHAnsi" w:eastAsiaTheme="minorEastAsia" w:hAnsiTheme="minorHAnsi"/>
                <w:lang w:eastAsia="de-DE"/>
              </w:rPr>
              <w:tab/>
            </w:r>
            <w:r>
              <w:rPr>
                <w:rStyle w:val="Verzeichnissprung"/>
              </w:rPr>
              <w:t>10-fache Kreuzvalidierung für den Modellvergleich</w:t>
            </w:r>
            <w:r>
              <w:rPr>
                <w:webHidden/>
              </w:rPr>
              <w:fldChar w:fldCharType="begin"/>
            </w:r>
            <w:r>
              <w:rPr>
                <w:webHidden/>
              </w:rPr>
              <w:instrText>PAGEREF _Toc66981166 \h</w:instrText>
            </w:r>
            <w:r>
              <w:rPr>
                <w:webHidden/>
              </w:rPr>
              <w:fldChar w:fldCharType="separate"/>
            </w:r>
            <w:r>
              <w:rPr>
                <w:rStyle w:val="Verzeichnissprung"/>
                <w:vanish w:val="false"/>
              </w:rPr>
              <w:tab/>
              <w:t>22</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6981167">
            <w:r>
              <w:rPr>
                <w:webHidden/>
                <w:rStyle w:val="Verzeichnissprung"/>
                <w:vanish w:val="false"/>
              </w:rPr>
              <w:t>3.3.1</w:t>
            </w:r>
            <w:r>
              <w:rPr>
                <w:rStyle w:val="Verzeichnissprung"/>
                <w:rFonts w:eastAsia="" w:ascii="Calibri" w:hAnsi="Calibri" w:asciiTheme="minorHAnsi" w:eastAsiaTheme="minorEastAsia" w:hAnsiTheme="minorHAnsi"/>
                <w:lang w:eastAsia="de-DE"/>
              </w:rPr>
              <w:tab/>
            </w:r>
            <w:r>
              <w:rPr>
                <w:rStyle w:val="Verzeichnissprung"/>
              </w:rPr>
            </w:r>
            <m:oMath xmlns:m="http://schemas.openxmlformats.org/officeDocument/2006/math">
              <m:r>
                <w:rPr>
                  <w:rFonts w:ascii="Cambria Math" w:hAnsi="Cambria Math"/>
                </w:rPr>
                <m:t xml:space="preserve">k</m:t>
              </m:r>
            </m:oMath>
            <w:r>
              <w:rPr>
                <w:rStyle w:val="Verzeichnissprung"/>
              </w:rPr>
              <w:t>-fache Kreuzvalidierung</w:t>
            </w:r>
            <w:r>
              <w:rPr>
                <w:webHidden/>
              </w:rPr>
              <w:fldChar w:fldCharType="begin"/>
            </w:r>
            <w:r>
              <w:rPr>
                <w:webHidden/>
              </w:rPr>
              <w:instrText>PAGEREF _Toc66981167 \h</w:instrText>
            </w:r>
            <w:r>
              <w:rPr>
                <w:webHidden/>
              </w:rPr>
              <w:fldChar w:fldCharType="separate"/>
            </w:r>
            <w:r>
              <w:rPr>
                <w:rStyle w:val="Verzeichnissprung"/>
                <w:vanish w:val="false"/>
              </w:rPr>
              <w:tab/>
              <w:t>22</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6981168">
            <w:r>
              <w:rPr>
                <w:webHidden/>
                <w:rStyle w:val="Verzeichnissprung"/>
                <w:vanish w:val="false"/>
              </w:rPr>
              <w:t>3.3.2</w:t>
            </w:r>
            <w:r>
              <w:rPr>
                <w:rStyle w:val="Verzeichnissprung"/>
                <w:rFonts w:eastAsia="" w:ascii="Calibri" w:hAnsi="Calibri" w:asciiTheme="minorHAnsi" w:eastAsiaTheme="minorEastAsia" w:hAnsiTheme="minorHAnsi"/>
                <w:lang w:eastAsia="de-DE"/>
              </w:rPr>
              <w:tab/>
            </w:r>
            <w:r>
              <w:rPr>
                <w:rStyle w:val="Verzeichnissprung"/>
              </w:rPr>
              <w:t>Splitten des Datensatzes für 10-fache Kreuzvalidierung</w:t>
            </w:r>
            <w:r>
              <w:rPr>
                <w:webHidden/>
              </w:rPr>
              <w:fldChar w:fldCharType="begin"/>
            </w:r>
            <w:r>
              <w:rPr>
                <w:webHidden/>
              </w:rPr>
              <w:instrText>PAGEREF _Toc66981168 \h</w:instrText>
            </w:r>
            <w:r>
              <w:rPr>
                <w:webHidden/>
              </w:rPr>
              <w:fldChar w:fldCharType="separate"/>
            </w:r>
            <w:r>
              <w:rPr>
                <w:rStyle w:val="Verzeichnissprung"/>
                <w:vanish w:val="false"/>
              </w:rPr>
              <w:tab/>
              <w:t>23</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6981169">
            <w:r>
              <w:rPr>
                <w:webHidden/>
                <w:rStyle w:val="Verzeichnissprung"/>
                <w:vanish w:val="false"/>
              </w:rPr>
              <w:t>3.3.3</w:t>
            </w:r>
            <w:r>
              <w:rPr>
                <w:rStyle w:val="Verzeichnissprung"/>
                <w:rFonts w:eastAsia="" w:ascii="Calibri" w:hAnsi="Calibri" w:asciiTheme="minorHAnsi" w:eastAsiaTheme="minorEastAsia" w:hAnsiTheme="minorHAnsi"/>
                <w:lang w:eastAsia="de-DE"/>
              </w:rPr>
              <w:tab/>
            </w:r>
            <w:r>
              <w:rPr>
                <w:rStyle w:val="Verzeichnissprung"/>
              </w:rPr>
              <w:t>Durchführung der 10-fache Kreuzvalidierung</w:t>
            </w:r>
            <w:r>
              <w:rPr>
                <w:webHidden/>
              </w:rPr>
              <w:fldChar w:fldCharType="begin"/>
            </w:r>
            <w:r>
              <w:rPr>
                <w:webHidden/>
              </w:rPr>
              <w:instrText>PAGEREF _Toc66981169 \h</w:instrText>
            </w:r>
            <w:r>
              <w:rPr>
                <w:webHidden/>
              </w:rPr>
              <w:fldChar w:fldCharType="separate"/>
            </w:r>
            <w:r>
              <w:rPr>
                <w:rStyle w:val="Verzeichnissprung"/>
                <w:vanish w:val="false"/>
              </w:rPr>
              <w:tab/>
              <w:t>25</w:t>
            </w:r>
            <w:r>
              <w:rPr>
                <w:webHidden/>
              </w:rPr>
              <w:fldChar w:fldCharType="end"/>
            </w:r>
          </w:hyperlink>
        </w:p>
        <w:p>
          <w:pPr>
            <w:pStyle w:val="Inhaltsverzeichnis2"/>
            <w:rPr>
              <w:rFonts w:ascii="Calibri" w:hAnsi="Calibri" w:eastAsia="" w:asciiTheme="minorHAnsi" w:eastAsiaTheme="minorEastAsia" w:hAnsiTheme="minorHAnsi"/>
              <w:lang w:eastAsia="de-DE"/>
            </w:rPr>
          </w:pPr>
          <w:hyperlink w:anchor="_Toc66981170">
            <w:r>
              <w:rPr>
                <w:webHidden/>
                <w:rStyle w:val="Verzeichnissprung"/>
                <w:vanish w:val="false"/>
              </w:rPr>
              <w:t>3.4</w:t>
            </w:r>
            <w:r>
              <w:rPr>
                <w:rStyle w:val="Verzeichnissprung"/>
                <w:rFonts w:eastAsia="" w:ascii="Calibri" w:hAnsi="Calibri" w:asciiTheme="minorHAnsi" w:eastAsiaTheme="minorEastAsia" w:hAnsiTheme="minorHAnsi"/>
                <w:lang w:eastAsia="de-DE"/>
              </w:rPr>
              <w:tab/>
            </w:r>
            <w:r>
              <w:rPr>
                <w:rStyle w:val="Verzeichnissprung"/>
              </w:rPr>
              <w:t>Untersuchung des Einflusses der Trainingsdatensatzgröße</w:t>
            </w:r>
            <w:r>
              <w:rPr>
                <w:webHidden/>
              </w:rPr>
              <w:fldChar w:fldCharType="begin"/>
            </w:r>
            <w:r>
              <w:rPr>
                <w:webHidden/>
              </w:rPr>
              <w:instrText>PAGEREF _Toc66981170 \h</w:instrText>
            </w:r>
            <w:r>
              <w:rPr>
                <w:webHidden/>
              </w:rPr>
              <w:fldChar w:fldCharType="separate"/>
            </w:r>
            <w:r>
              <w:rPr>
                <w:rStyle w:val="Verzeichnissprung"/>
                <w:vanish w:val="false"/>
              </w:rPr>
              <w:tab/>
              <w:t>25</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6981171">
            <w:r>
              <w:rPr>
                <w:webHidden/>
                <w:rStyle w:val="Verzeichnissprung"/>
                <w:vanish w:val="false"/>
              </w:rPr>
              <w:t>3.4.1</w:t>
            </w:r>
            <w:r>
              <w:rPr>
                <w:rStyle w:val="Verzeichnissprung"/>
                <w:rFonts w:eastAsia="" w:ascii="Calibri" w:hAnsi="Calibri" w:asciiTheme="minorHAnsi" w:eastAsiaTheme="minorEastAsia" w:hAnsiTheme="minorHAnsi"/>
                <w:lang w:eastAsia="de-DE"/>
              </w:rPr>
              <w:tab/>
            </w:r>
            <w:r>
              <w:rPr>
                <w:rStyle w:val="Verzeichnissprung"/>
              </w:rPr>
              <w:t>splitten des DS</w:t>
            </w:r>
            <w:r>
              <w:rPr>
                <w:webHidden/>
              </w:rPr>
              <w:fldChar w:fldCharType="begin"/>
            </w:r>
            <w:r>
              <w:rPr>
                <w:webHidden/>
              </w:rPr>
              <w:instrText>PAGEREF _Toc66981171 \h</w:instrText>
            </w:r>
            <w:r>
              <w:rPr>
                <w:webHidden/>
              </w:rPr>
              <w:fldChar w:fldCharType="separate"/>
            </w:r>
            <w:r>
              <w:rPr>
                <w:rStyle w:val="Verzeichnissprung"/>
                <w:vanish w:val="false"/>
              </w:rPr>
              <w:tab/>
              <w:t>25</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6981172">
            <w:r>
              <w:rPr>
                <w:webHidden/>
                <w:rStyle w:val="Verzeichnissprung"/>
                <w:vanish w:val="false"/>
              </w:rPr>
              <w:t>3.4.2</w:t>
            </w:r>
            <w:r>
              <w:rPr>
                <w:rStyle w:val="Verzeichnissprung"/>
                <w:rFonts w:eastAsia="" w:ascii="Calibri" w:hAnsi="Calibri" w:asciiTheme="minorHAnsi" w:eastAsiaTheme="minorEastAsia" w:hAnsiTheme="minorHAnsi"/>
                <w:lang w:eastAsia="de-DE"/>
              </w:rPr>
              <w:tab/>
            </w:r>
            <w:r>
              <w:rPr>
                <w:rStyle w:val="Verzeichnissprung"/>
              </w:rPr>
              <w:t>Durchführung</w:t>
            </w:r>
            <w:r>
              <w:rPr>
                <w:webHidden/>
              </w:rPr>
              <w:fldChar w:fldCharType="begin"/>
            </w:r>
            <w:r>
              <w:rPr>
                <w:webHidden/>
              </w:rPr>
              <w:instrText>PAGEREF _Toc66981172 \h</w:instrText>
            </w:r>
            <w:r>
              <w:rPr>
                <w:webHidden/>
              </w:rPr>
              <w:fldChar w:fldCharType="separate"/>
            </w:r>
            <w:r>
              <w:rPr>
                <w:rStyle w:val="Verzeichnissprung"/>
                <w:vanish w:val="false"/>
              </w:rPr>
              <w:tab/>
              <w:t>25</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6981173">
            <w:r>
              <w:rPr>
                <w:webHidden/>
                <w:rStyle w:val="Verzeichnissprung"/>
                <w:vanish w:val="false"/>
              </w:rPr>
              <w:t>4</w:t>
            </w:r>
            <w:r>
              <w:rPr>
                <w:rStyle w:val="Verzeichnissprung"/>
                <w:rFonts w:eastAsia="" w:ascii="Calibri" w:hAnsi="Calibri" w:asciiTheme="minorHAnsi" w:eastAsiaTheme="minorEastAsia" w:hAnsiTheme="minorHAnsi"/>
                <w:lang w:eastAsia="de-DE"/>
              </w:rPr>
              <w:tab/>
            </w:r>
            <w:r>
              <w:rPr>
                <w:rStyle w:val="Verzeichnissprung"/>
              </w:rPr>
              <w:t>Ergebnisse</w:t>
            </w:r>
            <w:r>
              <w:rPr>
                <w:webHidden/>
              </w:rPr>
              <w:fldChar w:fldCharType="begin"/>
            </w:r>
            <w:r>
              <w:rPr>
                <w:webHidden/>
              </w:rPr>
              <w:instrText>PAGEREF _Toc66981173 \h</w:instrText>
            </w:r>
            <w:r>
              <w:rPr>
                <w:webHidden/>
              </w:rPr>
              <w:fldChar w:fldCharType="separate"/>
            </w:r>
            <w:r>
              <w:rPr>
                <w:rStyle w:val="Verzeichnissprung"/>
                <w:vanish w:val="false"/>
              </w:rPr>
              <w:tab/>
              <w:t>25</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6981174">
            <w:r>
              <w:rPr>
                <w:webHidden/>
                <w:rStyle w:val="Verzeichnissprung"/>
                <w:vanish w:val="false"/>
              </w:rPr>
              <w:t>5</w:t>
            </w:r>
            <w:r>
              <w:rPr>
                <w:rStyle w:val="Verzeichnissprung"/>
                <w:rFonts w:eastAsia="" w:ascii="Calibri" w:hAnsi="Calibri" w:asciiTheme="minorHAnsi" w:eastAsiaTheme="minorEastAsia" w:hAnsiTheme="minorHAnsi"/>
                <w:lang w:eastAsia="de-DE"/>
              </w:rPr>
              <w:tab/>
            </w:r>
            <w:r>
              <w:rPr>
                <w:rStyle w:val="Verzeichnissprung"/>
              </w:rPr>
              <w:t>Diskussion und Ausblick</w:t>
            </w:r>
            <w:r>
              <w:rPr>
                <w:webHidden/>
              </w:rPr>
              <w:fldChar w:fldCharType="begin"/>
            </w:r>
            <w:r>
              <w:rPr>
                <w:webHidden/>
              </w:rPr>
              <w:instrText>PAGEREF _Toc66981174 \h</w:instrText>
            </w:r>
            <w:r>
              <w:rPr>
                <w:webHidden/>
              </w:rPr>
              <w:fldChar w:fldCharType="separate"/>
            </w:r>
            <w:r>
              <w:rPr>
                <w:rStyle w:val="Verzeichnissprung"/>
                <w:vanish w:val="false"/>
              </w:rPr>
              <w:tab/>
              <w:t>26</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6981175">
            <w:r>
              <w:rPr>
                <w:webHidden/>
                <w:rStyle w:val="Verzeichnissprung"/>
                <w:vanish w:val="false"/>
              </w:rPr>
              <w:t>6</w:t>
            </w:r>
            <w:r>
              <w:rPr>
                <w:rStyle w:val="Verzeichnissprung"/>
                <w:rFonts w:eastAsia="" w:ascii="Calibri" w:hAnsi="Calibri" w:asciiTheme="minorHAnsi" w:eastAsiaTheme="minorEastAsia" w:hAnsiTheme="minorHAnsi"/>
                <w:lang w:eastAsia="de-DE"/>
              </w:rPr>
              <w:tab/>
            </w:r>
            <w:r>
              <w:rPr>
                <w:rStyle w:val="Verzeichnissprung"/>
              </w:rPr>
              <w:t>Zusammenfassung</w:t>
            </w:r>
            <w:r>
              <w:rPr>
                <w:webHidden/>
              </w:rPr>
              <w:fldChar w:fldCharType="begin"/>
            </w:r>
            <w:r>
              <w:rPr>
                <w:webHidden/>
              </w:rPr>
              <w:instrText>PAGEREF _Toc66981175 \h</w:instrText>
            </w:r>
            <w:r>
              <w:rPr>
                <w:webHidden/>
              </w:rPr>
              <w:fldChar w:fldCharType="separate"/>
            </w:r>
            <w:r>
              <w:rPr>
                <w:rStyle w:val="Verzeichnissprung"/>
                <w:vanish w:val="false"/>
              </w:rPr>
              <w:tab/>
              <w:t>27</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6981176">
            <w:r>
              <w:rPr>
                <w:webHidden/>
                <w:rStyle w:val="Verzeichnissprung"/>
                <w:vanish w:val="false"/>
              </w:rPr>
              <w:t>7</w:t>
            </w:r>
            <w:r>
              <w:rPr>
                <w:rStyle w:val="Verzeichnissprung"/>
                <w:rFonts w:eastAsia="" w:ascii="Calibri" w:hAnsi="Calibri" w:asciiTheme="minorHAnsi" w:eastAsiaTheme="minorEastAsia" w:hAnsiTheme="minorHAnsi"/>
                <w:lang w:eastAsia="de-DE"/>
              </w:rPr>
              <w:tab/>
            </w:r>
            <w:r>
              <w:rPr>
                <w:rStyle w:val="Verzeichnissprung"/>
              </w:rPr>
              <w:t>Literaturverzeichnis</w:t>
            </w:r>
            <w:r>
              <w:rPr>
                <w:webHidden/>
              </w:rPr>
              <w:fldChar w:fldCharType="begin"/>
            </w:r>
            <w:r>
              <w:rPr>
                <w:webHidden/>
              </w:rPr>
              <w:instrText>PAGEREF _Toc66981176 \h</w:instrText>
            </w:r>
            <w:r>
              <w:rPr>
                <w:webHidden/>
              </w:rPr>
              <w:fldChar w:fldCharType="separate"/>
            </w:r>
            <w:r>
              <w:rPr>
                <w:rStyle w:val="Verzeichnissprung"/>
                <w:vanish w:val="false"/>
              </w:rPr>
              <w:tab/>
              <w:t>28</w:t>
            </w:r>
            <w:r>
              <w:rPr>
                <w:webHidden/>
              </w:rPr>
              <w:fldChar w:fldCharType="end"/>
            </w:r>
          </w:hyperlink>
        </w:p>
        <w:p>
          <w:pPr>
            <w:pStyle w:val="Inhaltsverzeichnis1"/>
            <w:rPr/>
          </w:pPr>
          <w:r>
            <w:rPr/>
          </w:r>
          <w:r>
            <w:rPr/>
            <w:fldChar w:fldCharType="end"/>
          </w:r>
        </w:p>
      </w:sdtContent>
    </w:sdt>
    <w:p>
      <w:pPr>
        <w:pStyle w:val="Normal"/>
        <w:spacing w:lineRule="auto" w:line="259" w:before="0" w:after="160"/>
        <w:jc w:val="left"/>
        <w:rPr/>
      </w:pPr>
      <w:r>
        <w:rPr/>
      </w:r>
    </w:p>
    <w:p>
      <w:pPr>
        <w:pStyle w:val="Berschrift1"/>
        <w:numPr>
          <w:ilvl w:val="0"/>
          <w:numId w:val="0"/>
        </w:numPr>
        <w:ind w:left="432" w:hanging="0"/>
        <w:rPr/>
      </w:pPr>
      <w:bookmarkStart w:id="6" w:name="_Toc66477588"/>
      <w:bookmarkStart w:id="7" w:name="_Toc66981146"/>
      <w:bookmarkStart w:id="8" w:name="_Toc66749920"/>
      <w:r>
        <w:rPr/>
        <w:t>Abbildungsverzeichnis</w:t>
      </w:r>
      <w:bookmarkEnd w:id="6"/>
      <w:bookmarkEnd w:id="7"/>
      <w:bookmarkEnd w:id="8"/>
    </w:p>
    <w:p>
      <w:pPr>
        <w:pStyle w:val="Normal"/>
        <w:spacing w:lineRule="auto" w:line="259" w:before="0" w:after="160"/>
        <w:jc w:val="left"/>
        <w:rPr>
          <w:rFonts w:ascii="Arial" w:hAnsi="Arial" w:eastAsia="" w:cs="" w:cstheme="majorBidi" w:eastAsiaTheme="majorEastAsia"/>
          <w:b/>
          <w:b/>
          <w:sz w:val="36"/>
          <w:szCs w:val="32"/>
        </w:rPr>
      </w:pPr>
      <w:r>
        <w:rPr>
          <w:rFonts w:eastAsia="" w:cs="" w:cstheme="majorBidi" w:eastAsiaTheme="majorEastAsia" w:ascii="Arial" w:hAnsi="Arial"/>
          <w:b/>
          <w:sz w:val="36"/>
          <w:szCs w:val="32"/>
        </w:rPr>
      </w:r>
      <w:r>
        <w:br w:type="page"/>
      </w:r>
    </w:p>
    <w:p>
      <w:pPr>
        <w:pStyle w:val="Berschrift1"/>
        <w:numPr>
          <w:ilvl w:val="0"/>
          <w:numId w:val="0"/>
        </w:numPr>
        <w:ind w:left="432" w:hanging="0"/>
        <w:rPr/>
      </w:pPr>
      <w:bookmarkStart w:id="9" w:name="_Toc66477589"/>
      <w:bookmarkStart w:id="10" w:name="_Toc66749921"/>
      <w:bookmarkStart w:id="11" w:name="_Toc66981147"/>
      <w:r>
        <w:rPr/>
        <w:t>Tabellenverzeichnis</w:t>
      </w:r>
      <w:bookmarkEnd w:id="9"/>
      <w:bookmarkEnd w:id="10"/>
      <w:bookmarkEnd w:id="11"/>
    </w:p>
    <w:p>
      <w:pPr>
        <w:pStyle w:val="Normal"/>
        <w:spacing w:lineRule="auto" w:line="259" w:before="0" w:after="160"/>
        <w:jc w:val="left"/>
        <w:rPr>
          <w:rFonts w:ascii="Arial" w:hAnsi="Arial" w:eastAsia="" w:cs="" w:cstheme="majorBidi" w:eastAsiaTheme="majorEastAsia"/>
          <w:b/>
          <w:b/>
          <w:sz w:val="36"/>
          <w:szCs w:val="32"/>
        </w:rPr>
      </w:pPr>
      <w:r>
        <w:rPr>
          <w:rFonts w:eastAsia="" w:cs="" w:cstheme="majorBidi" w:eastAsiaTheme="majorEastAsia" w:ascii="Arial" w:hAnsi="Arial"/>
          <w:b/>
          <w:sz w:val="36"/>
          <w:szCs w:val="32"/>
        </w:rPr>
      </w:r>
      <w:r>
        <w:br w:type="page"/>
      </w:r>
    </w:p>
    <w:p>
      <w:pPr>
        <w:sectPr>
          <w:headerReference w:type="default" r:id="rId4"/>
          <w:footerReference w:type="default" r:id="rId5"/>
          <w:type w:val="nextPage"/>
          <w:pgSz w:w="11906" w:h="16838"/>
          <w:pgMar w:left="1440" w:right="1440" w:header="708" w:top="1440" w:footer="708" w:bottom="1440" w:gutter="0"/>
          <w:pgNumType w:start="1" w:fmt="lowerRoman"/>
          <w:formProt w:val="false"/>
          <w:textDirection w:val="lrTb"/>
          <w:docGrid w:type="default" w:linePitch="360" w:charSpace="4096"/>
        </w:sectPr>
        <w:pStyle w:val="Berschrift1"/>
        <w:numPr>
          <w:ilvl w:val="0"/>
          <w:numId w:val="0"/>
        </w:numPr>
        <w:ind w:left="432" w:hanging="0"/>
        <w:rPr/>
      </w:pPr>
      <w:r>
        <w:rPr/>
        <w:t>Abkürzungsverzeichni</w:t>
      </w:r>
      <w:bookmarkStart w:id="12" w:name="_Toc66749922"/>
      <w:bookmarkStart w:id="13" w:name="_Toc66477590"/>
      <w:bookmarkStart w:id="14" w:name="_Toc66981148"/>
      <w:bookmarkEnd w:id="12"/>
      <w:bookmarkEnd w:id="13"/>
      <w:bookmarkEnd w:id="14"/>
      <w:r>
        <w:rPr/>
        <w:t>s</w:t>
      </w:r>
    </w:p>
    <w:p>
      <w:pPr>
        <w:pStyle w:val="Berschrift1"/>
        <w:numPr>
          <w:ilvl w:val="0"/>
          <w:numId w:val="2"/>
        </w:numPr>
        <w:rPr/>
      </w:pPr>
      <w:bookmarkStart w:id="17" w:name="_Ref65792598"/>
      <w:bookmarkStart w:id="18" w:name="_Toc66477591"/>
      <w:bookmarkStart w:id="19" w:name="_Ref66980926"/>
      <w:bookmarkStart w:id="20" w:name="_Toc66981149"/>
      <w:r>
        <w:rPr/>
        <w:t>Einleitung</w:t>
      </w:r>
      <w:bookmarkEnd w:id="17"/>
      <w:bookmarkEnd w:id="18"/>
      <w:bookmarkEnd w:id="19"/>
      <w:bookmarkEnd w:id="20"/>
    </w:p>
    <w:p>
      <w:pPr>
        <w:pStyle w:val="Normal"/>
        <w:rPr>
          <w:highlight w:val="white"/>
        </w:rPr>
      </w:pPr>
      <w:r>
        <w:rPr>
          <w:shd w:fill="FFFFFF" w:val="clear"/>
        </w:rPr>
        <w:t xml:space="preserve">Am 15. März 2016 stand es fest: AlphaGo besiegt Lee Sedol, den damaligen stärksten Go Spieler der Welt, in einer Partie mit 4:1 </w:t>
      </w:r>
      <w:r>
        <w:fldChar w:fldCharType="begin"/>
      </w:r>
      <w:r>
        <w:rPr/>
        <w:instrText>ADDIN CSL_CITATION {"citationItems":[{"id":"ITEM-1","itemData":{"URL":"https://www.faz.net/aktuell/gesellschaft/menschen/google-computer-alphago-besiegt-go-weltmeister-14125664.html","accessed":{"date-parts":[["2021","2","15"]]},"id":"ITEM-1","issued":{"date-parts":[["0"]]},"title":"Google-Software besiegt Go-Genie auch im letzten Match","type":"webpage"},"uris":["http://www.mendeley.com/documents/?uuid=b9c6219f-45a4-4025-aa63-bd020ed78619"]}],"mendeley":{"formattedCitation":"[1]","plainTextFormattedCitation":"[1]","previouslyFormattedCitation":"[1]"},"properties":{"noteIndex":0},"schema":"https://github.com/citation-style-language/schema/raw/master/csl-citation.json"}</w:instrText>
      </w:r>
      <w:r>
        <w:rPr/>
        <w:fldChar w:fldCharType="separate"/>
      </w:r>
      <w:bookmarkStart w:id="21" w:name="__Fieldmark__548_2337847765"/>
      <w:r>
        <w:rPr/>
      </w:r>
      <w:r>
        <w:rPr>
          <w:shd w:fill="FFFFFF" w:val="clear"/>
        </w:rPr>
        <w:t>[</w:t>
      </w:r>
      <w:bookmarkStart w:id="22" w:name="__Fieldmark__955_983630037"/>
      <w:r>
        <w:rPr>
          <w:shd w:fill="FFFFFF" w:val="clear"/>
        </w:rPr>
        <w:t>1]</w:t>
      </w:r>
      <w:r>
        <w:rPr/>
      </w:r>
      <w:r>
        <w:rPr/>
        <w:fldChar w:fldCharType="end"/>
      </w:r>
      <w:bookmarkEnd w:id="21"/>
      <w:bookmarkEnd w:id="22"/>
      <w:r>
        <w:rPr>
          <w:shd w:fill="FFFFFF" w:val="clear"/>
        </w:rPr>
        <w:t xml:space="preserve">. Doch was hat dieses Ereignis mit autonom </w:t>
      </w:r>
      <w:commentRangeStart w:id="1"/>
      <w:r>
        <w:rPr>
          <w:shd w:fill="FFFFFF" w:val="clear"/>
        </w:rPr>
        <w:t>fahrenden Autos, der Wettervorhersage oder Spracherkennung zu tun?</w:t>
      </w:r>
    </w:p>
    <w:p>
      <w:pPr>
        <w:pStyle w:val="Normal"/>
        <w:rPr>
          <w:highlight w:val="white"/>
        </w:rPr>
      </w:pPr>
      <w:r>
        <w:rPr>
          <w:shd w:fill="FFFFFF" w:val="clear"/>
        </w:rPr>
        <w:t xml:space="preserve">In allen genannten Bereichen wird zunehmend mit künstlicher </w:t>
      </w:r>
      <w:r>
        <w:rPr>
          <w:shd w:fill="FFFFFF" w:val="clear"/>
        </w:rPr>
      </w:r>
      <w:commentRangeEnd w:id="1"/>
      <w:r>
        <w:commentReference w:id="1"/>
      </w:r>
      <w:r>
        <w:rPr>
          <w:shd w:fill="FFFFFF" w:val="clear"/>
        </w:rPr>
        <w:t xml:space="preserve">Intelligenz (KI) gearbeitet, bzw. gibt es immer mehr Ansätze, welche auf einer KI basieren </w:t>
      </w:r>
      <w:r>
        <w:fldChar w:fldCharType="begin"/>
      </w:r>
      <w:r>
        <w:rPr/>
        <w:instrText>ADDIN CSL_CITATION {"citationItems":[{"id":"ITEM-1","itemData":{"DOI":"10.1038/nature16961","ISSN":"14764687","PMID":"26819042","abstract":"The game of Go has long been viewed as the most challenging of classic games for artificial intelligence owing to its enormous search space and the difficulty of evaluating board positions and moves. Here we introduce a new approach to computer Go that uses 'value networks' to evaluate board positions and 'policy networks' to select moves. These deep neural networks are trained by a novel combination of supervised learning from human expert games, and reinforcement learning from games of self-play. Without any lookahead search, the neural networks play Go at the level of state-of-the-art Monte Carlo tree search programs that simulate thousands of random games of self-play. We also introduce a new search algorithm that combines Monte Carlo simulation with value and policy networks. Using this search algorithm, our program AlphaGo achieved a 99.8% winning rate against other Go programs, and defeated the human European Go champion by 5 games to 0. This is the first time that a computer program has defeated a human professional player in the full-sized game of Go, a feat previously thought to be at least a decade away.","author":[{"dropping-particle":"","family":"Silver","given":"David","non-dropping-particle":"","parse-names":false,"suffix":""},{"dropping-particle":"","family":"Huang","given":"Aja","non-dropping-particle":"","parse-names":false,"suffix":""},{"dropping-particle":"","family":"Maddison","given":"Chris J.","non-dropping-particle":"","parse-names":false,"suffix":""},{"dropping-particle":"","family":"Guez","given":"Arthur","non-dropping-particle":"","parse-names":false,"suffix":""},{"dropping-particle":"","family":"Sifre","given":"Laurent","non-dropping-particle":"","parse-names":false,"suffix":""},{"dropping-particle":"","family":"Driessche","given":"George","non-dropping-particle":"Van Den","parse-names":false,"suffix":""},{"dropping-particle":"","family":"Schrittwieser","given":"Julian","non-dropping-particle":"","parse-names":false,"suffix":""},{"dropping-particle":"","family":"Antonoglou","given":"Ioannis","non-dropping-particle":"","parse-names":false,"suffix":""},{"dropping-particle":"","family":"Panneershelvam","given":"Veda","non-dropping-particle":"","parse-names":false,"suffix":""},{"dropping-particle":"","family":"Lanctot","given":"Marc","non-dropping-particle":"","parse-names":false,"suffix":""},{"dropping-particle":"","family":"Dieleman","given":"Sander","non-dropping-particle":"","parse-names":false,"suffix":""},{"dropping-particle":"","family":"Grewe","given":"Dominik","non-dropping-particle":"","parse-names":false,"suffix":""},{"dropping-particle":"","family":"Nham","given":"John","non-dropping-particle":"","parse-names":false,"suffix":""},{"dropping-particle":"","family":"Kalchbrenner","given":"Nal","non-dropping-particle":"","parse-names":false,"suffix":""},{"dropping-particle":"","family":"Sutskever","given":"Ilya","non-dropping-particle":"","parse-names":false,"suffix":""},{"dropping-particle":"","family":"Lillicrap","given":"Timothy","non-dropping-particle":"","parse-names":false,"suffix":""},{"dropping-particle":"","family":"Leach","given":"Madeleine","non-dropping-particle":"","parse-names":false,"suffix":""},{"dropping-particle":"","family":"Kavukcuoglu","given":"Koray","non-dropping-particle":"","parse-names":false,"suffix":""},{"dropping-particle":"","family":"Graepel","given":"Thore","non-dropping-particle":"","parse-names":false,"suffix":""},{"dropping-particle":"","family":"Hassabis","given":"Demis","non-dropping-particle":"","parse-names":false,"suffix":""}],"container-title":"Nature","id":"ITEM-1","issue":"7587","issued":{"date-parts":[["2016"]]},"page":"484-489","publisher":"Nature Publishing Group","title":"Mastering the game of Go with deep neural networks and tree search","type":"article-journal","volume":"529"},"uris":["http://www.mendeley.com/documents/?uuid=6b74e897-2bc7-4fe2-a9b1-403fb97c5733"]}],"mendeley":{"formattedCitation":"[2]","plainTextFormattedCitation":"[2]","previouslyFormattedCitation":"[2]"},"properties":{"noteIndex":0},"schema":"https://github.com/citation-style-language/schema/raw/master/csl-citation.json"}</w:instrText>
      </w:r>
      <w:r>
        <w:rPr/>
        <w:fldChar w:fldCharType="separate"/>
      </w:r>
      <w:bookmarkStart w:id="23" w:name="__Fieldmark__563_2337847765"/>
      <w:r>
        <w:rPr/>
      </w:r>
      <w:r>
        <w:rPr>
          <w:shd w:fill="FFFFFF" w:val="clear"/>
        </w:rPr>
        <w:t>[2]</w:t>
      </w:r>
      <w:bookmarkStart w:id="24" w:name="__Fieldmark__975_983630037"/>
      <w:bookmarkEnd w:id="24"/>
      <w:r>
        <w:rPr/>
      </w:r>
      <w:r>
        <w:rPr/>
        <w:fldChar w:fldCharType="end"/>
      </w:r>
      <w:bookmarkEnd w:id="23"/>
      <w:r>
        <w:rPr>
          <w:shd w:fill="FFFFFF" w:val="clear"/>
        </w:rPr>
        <w:t xml:space="preserve"> </w:t>
      </w:r>
      <w:r>
        <w:fldChar w:fldCharType="begin"/>
      </w:r>
      <w:r>
        <w:rPr/>
        <w:instrText>ADDIN CSL_CITATION {"citationItems":[{"id":"ITEM-1","itemData":{"DOI":"10.1029/2020MS002203","ISSN":"19422466","abstract":"Data-driven approaches, most prominently deep learning, have become powerful tools for prediction in many domains. A natural question to ask is whether data-driven methods could also be used to predict global weather patterns days in advance. First studies show promise but the lack of a common data set and evaluation metrics make intercomparison between studies difficult. Here we present a benchmark data set for data-driven medium-range weather forecasting (specifically 3–5 days), a topic of high scientific interest for atmospheric and computer scientists alike. We provide data derived from the ERA5 archive that has been processed to facilitate the use in machine learning models. We propose simple and clear evaluation metrics which will enable a direct comparison between different methods. Further, we provide baseline scores from simple linear regression techniques, deep learning models, as well as purely physical forecasting models. The data set is publicly available at https://github.com/pangeo-data/WeatherBench and the companion code is reproducible with tutorials for getting started. We hope that this data set will accelerate research in data-driven weather forecasting.","author":[{"dropping-particle":"","family":"Rasp","given":"Stephan","non-dropping-particle":"","parse-names":false,"suffix":""},{"dropping-particle":"","family":"Dueben","given":"Peter D.","non-dropping-particle":"","parse-names":false,"suffix":""},{"dropping-particle":"","family":"Scher","given":"Sebastian","non-dropping-particle":"","parse-names":false,"suffix":""},{"dropping-particle":"","family":"Weyn","given":"Jonathan A.","non-dropping-particle":"","parse-names":false,"suffix":""},{"dropping-particle":"","family":"Mouatadid","given":"Soukayna","non-dropping-particle":"","parse-names":false,"suffix":""},{"dropping-particle":"","family":"Thuerey","given":"Nils","non-dropping-particle":"","parse-names":false,"suffix":""}],"container-title":"Journal of Advances in Modeling Earth Systems","id":"ITEM-1","issue":"11","issued":{"date-parts":[["2020"]]},"title":"WeatherBench: A Benchmark Data Set for Data-Driven Weather Forecasting","type":"article-journal","volume":"12"},"uris":["http://www.mendeley.com/documents/?uuid=b450cdc9-748e-462f-8a11-2bbcdd390a5a"]}],"mendeley":{"formattedCitation":"[3]","plainTextFormattedCitation":"[3]","previouslyFormattedCitation":"[3]"},"properties":{"noteIndex":0},"schema":"https://github.com/citation-style-language/schema/raw/master/csl-citation.json"}</w:instrText>
      </w:r>
      <w:r>
        <w:rPr/>
        <w:fldChar w:fldCharType="separate"/>
      </w:r>
      <w:bookmarkStart w:id="25" w:name="__Fieldmark__571_2337847765"/>
      <w:r>
        <w:rPr/>
      </w:r>
      <w:r>
        <w:rPr>
          <w:shd w:fill="FFFFFF" w:val="clear"/>
        </w:rPr>
        <w:t>[3]</w:t>
      </w:r>
      <w:bookmarkStart w:id="26" w:name="__Fieldmark__981_983630037"/>
      <w:bookmarkEnd w:id="26"/>
      <w:r>
        <w:rPr/>
      </w:r>
      <w:r>
        <w:rPr/>
        <w:fldChar w:fldCharType="end"/>
      </w:r>
      <w:bookmarkEnd w:id="25"/>
      <w:commentRangeStart w:id="2"/>
      <w:r>
        <w:rPr>
          <w:shd w:fill="FFFFFF" w:val="clear"/>
        </w:rPr>
        <w:t xml:space="preserve"> </w:t>
      </w:r>
      <w:r>
        <w:fldChar w:fldCharType="begin"/>
      </w:r>
      <w:r>
        <w:rPr/>
        <w:instrText>ADDIN CSL_CITATION {"citationItems":[{"id":"ITEM-1","itemData":{"ISSN":"23318422","abstract":"Reinforcement learning is considered to be a strong AI paradigm which can be used to teach machines through interaction with the environment and learning from their mistakes. Despite its perceived utility, it has not yet been successfully applied in automotive applications. Motivated by the successful demonstrations of learning of Atari games and Go by Google DeepMind, we propose a framework for autonomous driving using deep reinforcement learning. This is of particular relevance as it is difficult to pose autonomous driving as a supervised learning problem due to strong interactions with the environment including other vehicles, pedestrians and roadworks. As it is a relatively new area of research for autonomous driving, we provide a short overview of deep reinforcement learning and then describe our proposed framework. It incorporates Recurrent Neural Networks for information integration, enabling the car to handle partially observable scenarios. It also integrates the recent work on attention models to focus on relevant information, thereby reducing the computational complexity for deployment on embedded hardware. The framework was tested in an open source 3D car racing simulator called TORCS. Our simulation results demonstrate learning of autonomous maneuvering in a scenario of complex road curvatures and simple interaction of other vehicles.","author":[{"dropping-particle":"El","family":"Sallab","given":"Ahmad","non-dropping-particle":"","parse-names":false,"suffix":""},{"dropping-particle":"","family":"Abdou","given":"Mohammed","non-dropping-particle":"","parse-names":false,"suffix":""},{"dropping-particle":"","family":"Perot","given":"Etienne","non-dropping-particle":"","parse-names":false,"suffix":""},{"dropping-particle":"","family":"Yogamani","given":"Senthil","non-dropping-particle":"","parse-names":false,"suffix":""}],"container-title":"arXiv","id":"ITEM-1","issued":{"date-parts":[["2017"]]},"page":"70-76","title":"Deep reinforcement learning framework for autonomous driving","type":"article-journal"},"uris":["http://www.mendeley.com/documents/?uuid=ef484ffa-8f16-477c-8b18-5cd453f8ac2c"]}],"mendeley":{"formattedCitation":"[4]","plainTextFormattedCitation":"[4]","previouslyFormattedCitation":"[4]"},"properties":{"noteIndex":0},"schema":"https://github.com/citation-style-language/schema/raw/master/csl-citation.json"}</w:instrText>
      </w:r>
      <w:r>
        <w:rPr/>
        <w:fldChar w:fldCharType="separate"/>
      </w:r>
      <w:bookmarkStart w:id="27" w:name="__Fieldmark__580_2337847765"/>
      <w:r>
        <w:rPr/>
      </w:r>
      <w:r>
        <w:rPr>
          <w:shd w:fill="FFFFFF" w:val="clear"/>
        </w:rPr>
        <w:t>[4]</w:t>
      </w:r>
      <w:bookmarkStart w:id="28" w:name="__Fieldmark__986_983630037"/>
      <w:bookmarkEnd w:id="28"/>
      <w:r>
        <w:rPr/>
      </w:r>
      <w:r>
        <w:rPr/>
        <w:fldChar w:fldCharType="end"/>
      </w:r>
      <w:bookmarkEnd w:id="27"/>
      <w:r>
        <w:rPr>
          <w:shd w:fill="FFFFFF" w:val="clear"/>
        </w:rPr>
        <w:t xml:space="preserve"> </w:t>
      </w:r>
      <w:r>
        <w:fldChar w:fldCharType="begin"/>
      </w:r>
      <w:r>
        <w:rPr/>
        <w:instrText>ADDIN CSL_CITATION {"citationItems":[{"id":"ITEM-1","itemData":{"DOI":"10.1109/MWENT.2018.8337236","ISBN":"9781538634974","abstract":"Artificial intelligence technologies are beginning to be actively used in human life, this is facilitated by the appearance and wide dissemination of the Internet of Things (IoT). Autonomous devices are becoming smarter in their way to interact with both a human and themselves. New capacities lead to creation of various systems for integration of smart things into Social Networks of the Internet of Things. One of the relevant trends in artificial intelligence is the technology of recognizing the natural language of a human. New insights in this topic can lead to new means of natural human-machine interaction, in which the machine would learn how to understand human's language, adjusting and interacting in it. One of such tools is voice assistant, which can be integrated into many other intelligent systems. In this paper, the principles of the functioning of voice assistants are described, its main shortcomings and limitations are given. The method of creating a local voice assistant without using cloud services is described, which allows to significantly expand the applicability of such devices in the future.","author":[{"dropping-particle":"V.","family":"Polyakov","given":"E.","non-dropping-particle":"","parse-names":false,"suffix":""},{"dropping-particle":"","family":"Mazhanov","given":"M. S.","non-dropping-particle":"","parse-names":false,"suffix":""},{"dropping-particle":"","family":"Rolich","given":"A. Y.","non-dropping-particle":"","parse-names":false,"suffix":""},{"dropping-particle":"","family":"Voskov","given":"L. S.","non-dropping-particle":"","parse-names":false,"suffix":""},{"dropping-particle":"V.","family":"Kachalova","given":"M.","non-dropping-particle":"","parse-names":false,"suffix":""},{"dropping-particle":"V.","family":"Polyakov","given":"S.","non-dropping-particle":"","parse-names":false,"suffix":""}],"container-title":"Moscow Workshop on Electronic and Networking Technologies, MWENT 2018 - Proceedings","id":"ITEM-1","issued":{"date-parts":[["2018"]]},"page":"1-5","title":"Investigation and development of the intelligent voice assistant for the Internet of Things using machine learning","type":"article-journal","volume":"2018-March"},"uris":["http://www.mendeley.com/documents/?uuid=15d4cb30-3d57-4d3c-b074-9bf9a2890568"]}],"mendeley":{"formattedCitation":"[5]","plainTextFormattedCitation":"[5]","previouslyFormattedCitation":"[5]"},"properties":{"noteIndex":0},"schema":"https://github.com/citation-style-language/schema/raw/master/csl-citation.json"}</w:instrText>
      </w:r>
      <w:r>
        <w:rPr/>
        <w:fldChar w:fldCharType="separate"/>
      </w:r>
      <w:bookmarkStart w:id="29" w:name="__Fieldmark__588_2337847765"/>
      <w:r>
        <w:rPr/>
      </w:r>
      <w:r>
        <w:rPr>
          <w:shd w:fill="FFFFFF" w:val="clear"/>
        </w:rPr>
        <w:t>[5]</w:t>
      </w:r>
      <w:bookmarkStart w:id="30" w:name="__Fieldmark__991_983630037"/>
      <w:bookmarkEnd w:id="30"/>
      <w:r>
        <w:rPr/>
      </w:r>
      <w:r>
        <w:rPr/>
        <w:fldChar w:fldCharType="end"/>
      </w:r>
      <w:bookmarkEnd w:id="29"/>
      <w:r>
        <w:rPr>
          <w:shd w:fill="FFFFFF" w:val="clear"/>
        </w:rPr>
        <w:t xml:space="preserve">. </w:t>
      </w:r>
      <w:r>
        <w:rPr>
          <w:shd w:fill="FFFFFF" w:val="clear"/>
        </w:rPr>
      </w:r>
      <w:commentRangeEnd w:id="2"/>
      <w:r>
        <w:commentReference w:id="2"/>
      </w:r>
      <w:r>
        <w:rPr>
          <w:shd w:fill="FFFFFF" w:val="clear"/>
        </w:rPr>
        <w:t xml:space="preserve">KIs kommen häufig dort zum Einsatz, wo große Datenmengen anfallen und zeitnah bewertet werden müssen. Dabei erkennen KIs Muster in den Daten und können Vorhersagen über die weitere Entwicklung treffen, was für das Fällen von Entscheidungen von großer Bedeutung ist. Nicht zuletzt haben KIs auch auf vielfältige Art und Weise ihren Weg in die naturwissenschaftliche Forschung gefunden. Anwendungsgebiete sind z.B. das Stellen von Hautkrebsdiagnosen in der Medizin </w:t>
      </w:r>
      <w:r>
        <w:fldChar w:fldCharType="begin"/>
      </w:r>
      <w:r>
        <w:rPr/>
        <w:instrText>ADDIN CSL_CITATION {"citationItems":[{"id":"ITEM-1","itemData":{"DOI":"10.1038/nature21056","ISSN":"14764687","PMID":"28117445","abstract":"Skin cancer, the most common human malignancy, is primarily diagnosed visually, beginning with an initial clinical screening and followed potentially by dermoscopic analysis, a biopsy and histopathological examination. Automated classification of skin lesions using images is a challenging task owing to the fine-grained variability in the appearance of skin lesions. Deep convolutional neural networks (CNNs) show potential for general and highly variable tasks across many fine-grained object categories. Here we demonstrate classification of skin lesions using a single CNN, trained end-to-end from images directly, using only pixels and disease labels as inputs. We train a CNN using a dataset of 129,450 clinical images - two orders of magnitude larger than previous datasets - consisting of 2,032 different diseases. We test its performance against 21 board-certified dermatologists on biopsy-proven clinical images with two critical binary classification use cases: keratinocyte carcinomas versus benign seborrheic keratoses; and malignant melanomas versus benign nevi. The first case represents the identification of the most common cancers, the second represents the identification of the deadliest skin cancer. The CNN achieves performance on par with all tested experts across both tasks, demonstrating an artificial intelligence capable of classifying skin cancer with a level of competence comparable to dermatologists. Outfitted with deep neural networks, mobile devices can potentially extend the reach of dermatologists outside of the clinic. It is projected that 6.3 billion smartphone subscriptions will exist by the year 2021 (ref. 13) and can therefore potentially provide low-cost universal access to vital diagnostic care.","author":[{"dropping-particle":"","family":"Esteva","given":"Andre","non-dropping-particle":"","parse-names":false,"suffix":""},{"dropping-particle":"","family":"Kuprel","given":"Brett","non-dropping-particle":"","parse-names":false,"suffix":""},{"dropping-particle":"","family":"Novoa","given":"Roberto A.","non-dropping-particle":"","parse-names":false,"suffix":""},{"dropping-particle":"","family":"Ko","given":"Justin","non-dropping-particle":"","parse-names":false,"suffix":""},{"dropping-particle":"","family":"Swetter","given":"Susan M.","non-dropping-particle":"","parse-names":false,"suffix":""},{"dropping-particle":"","family":"Blau","given":"Helen M.","non-dropping-particle":"","parse-names":false,"suffix":""},{"dropping-particle":"","family":"Thrun","given":"Sebastian","non-dropping-particle":"","parse-names":false,"suffix":""}],"container-title":"Nature","id":"ITEM-1","issue":"7639","issued":{"date-parts":[["2017"]]},"page":"115-118","publisher":"Nature Publishing Group","title":"Dermatologist-level classification of skin cancer with deep neural networks","type":"article-journal","volume":"542"},"uris":["http://www.mendeley.com/documents/?uuid=d09b8997-b7c3-4118-a029-7d8e8dc7006a"]}],"mendeley":{"formattedCitation":"[6]","plainTextFormattedCitation":"[6]","previouslyFormattedCitation":"[6]"},"properties":{"noteIndex":0},"schema":"https://github.com/citation-style-language/schema/raw/master/csl-citation.json"}</w:instrText>
      </w:r>
      <w:r>
        <w:rPr/>
        <w:fldChar w:fldCharType="separate"/>
      </w:r>
      <w:bookmarkStart w:id="31" w:name="__Fieldmark__601_2337847765"/>
      <w:r>
        <w:rPr/>
      </w:r>
      <w:r>
        <w:rPr>
          <w:shd w:fill="FFFFFF" w:val="clear"/>
        </w:rPr>
        <w:t>[6]</w:t>
      </w:r>
      <w:bookmarkStart w:id="32" w:name="__Fieldmark__1024_983630037"/>
      <w:bookmarkEnd w:id="32"/>
      <w:r>
        <w:rPr/>
      </w:r>
      <w:r>
        <w:rPr/>
        <w:fldChar w:fldCharType="end"/>
      </w:r>
      <w:bookmarkEnd w:id="31"/>
      <w:r>
        <w:rPr>
          <w:shd w:fill="FFFFFF" w:val="clear"/>
        </w:rPr>
        <w:t xml:space="preserve">, das Optimieren von Molekülsimulationen für die Werkstoffforschung in der Physik </w:t>
      </w:r>
      <w:r>
        <w:fldChar w:fldCharType="begin"/>
      </w:r>
      <w:r>
        <w:rPr/>
        <w:instrText>ADDIN CSL_CITATION {"citationItems":[{"id":"ITEM-1","itemData":{"URL":"https://www.selfmem.eu/public_relations_media/magazine/what_motivates_us/081840/index.php.de","accessed":{"date-parts":[["2021","3","2"]]},"id":"ITEM-1","issued":{"date-parts":[["0"]]},"title":"No Title","type":"webpage"},"uris":["http://www.mendeley.com/documents/?uuid=d2abeb81-7754-471e-a901-f8a23c39f6a6"]}],"mendeley":{"formattedCitation":"[7]","plainTextFormattedCitation":"[7]","previouslyFormattedCitation":"[7]"},"properties":{"noteIndex":0},"schema":"https://github.com/citation-style-language/schema/raw/master/csl-citation.json"}</w:instrText>
      </w:r>
      <w:r>
        <w:rPr/>
        <w:fldChar w:fldCharType="separate"/>
      </w:r>
      <w:bookmarkStart w:id="33" w:name="__Fieldmark__609_2337847765"/>
      <w:r>
        <w:rPr/>
      </w:r>
      <w:r>
        <w:rPr>
          <w:shd w:fill="FFFFFF" w:val="clear"/>
        </w:rPr>
        <w:t>[7]</w:t>
      </w:r>
      <w:bookmarkStart w:id="34" w:name="__Fieldmark__1035_983630037"/>
      <w:bookmarkEnd w:id="34"/>
      <w:r>
        <w:rPr/>
      </w:r>
      <w:r>
        <w:rPr/>
        <w:fldChar w:fldCharType="end"/>
      </w:r>
      <w:bookmarkEnd w:id="33"/>
      <w:r>
        <w:rPr>
          <w:shd w:fill="FFFFFF" w:val="clear"/>
        </w:rPr>
        <w:t>, oder generell das Extrahieren von Wissen aus Daten. Besonders letzteres gewinnt im Zeitalter von Big Data immer mehr an Relevanz und soll in dieser Bachelorarbeit im Mittelpunkt stehen.</w:t>
      </w:r>
    </w:p>
    <w:p>
      <w:pPr>
        <w:pStyle w:val="Normal"/>
        <w:rPr>
          <w:highlight w:val="white"/>
        </w:rPr>
      </w:pPr>
      <w:r>
        <w:rPr>
          <w:highlight w:val="white"/>
        </w:rPr>
      </w:r>
    </w:p>
    <w:p>
      <w:pPr>
        <w:pStyle w:val="Berschrift2"/>
        <w:numPr>
          <w:ilvl w:val="1"/>
          <w:numId w:val="2"/>
        </w:numPr>
        <w:rPr/>
      </w:pPr>
      <w:bookmarkStart w:id="35" w:name="_Toc66477592"/>
      <w:bookmarkStart w:id="36" w:name="_Toc66981150"/>
      <w:r>
        <w:rPr/>
        <w:t>Begriffe aus dem Feld der KI</w:t>
      </w:r>
      <w:bookmarkEnd w:id="35"/>
      <w:bookmarkEnd w:id="36"/>
    </w:p>
    <w:p>
      <w:pPr>
        <w:pStyle w:val="Normal"/>
        <w:rPr/>
      </w:pPr>
      <w:r>
        <w:rPr/>
        <w:t>In diesem Kapitel werden für die Bachelorarbeit wichtige Begriffe aus dem großen Themengebiet der KI erläutert. Dies stellt einerseits eine Basis für ein Grundverständnis dar und soll andererseits dazu dienen die Bachelorarbeit, mit der verwendeten Methode, in das sehr weitläufige Gebiet der KI besser einzuordnen.</w:t>
      </w:r>
    </w:p>
    <w:p>
      <w:pPr>
        <w:pStyle w:val="Berschrift3"/>
        <w:numPr>
          <w:ilvl w:val="2"/>
          <w:numId w:val="2"/>
        </w:numPr>
        <w:rPr/>
      </w:pPr>
      <w:commentRangeStart w:id="3"/>
      <w:r>
        <w:rPr/>
        <w:t>KI</w:t>
      </w:r>
      <w:bookmarkStart w:id="37" w:name="_Toc66981151"/>
      <w:bookmarkStart w:id="38" w:name="_Toc66477593"/>
      <w:bookmarkEnd w:id="37"/>
      <w:bookmarkEnd w:id="38"/>
      <w:r>
        <w:rPr/>
      </w:r>
      <w:commentRangeEnd w:id="3"/>
      <w:r>
        <w:commentReference w:id="3"/>
      </w:r>
      <w:r>
        <w:rPr/>
        <w:t xml:space="preserve">  </w:t>
      </w:r>
    </w:p>
    <w:p>
      <w:pPr>
        <w:pStyle w:val="Normal"/>
        <w:rPr>
          <w:highlight w:val="white"/>
        </w:rPr>
      </w:pPr>
      <w:r>
        <w:rPr/>
        <w:t xml:space="preserve">Eine einfache universelle Definition von KI gibt es nicht. Das liegt daran, dass der Begriff Intelligenz selbst nur schwer zu definieren ist. Die Fraunhofer-Gesellschaft beschreibt KI in einer Studie als „ein Teilgebiet der Informatik mit dem Ziel, Maschinen zu befähigen, Aufgaben »intelligent« auszuführen“ </w:t>
      </w:r>
      <w:r>
        <w:fldChar w:fldCharType="begin"/>
      </w:r>
      <w:r>
        <w:rPr/>
        <w:instrText>ADDIN CSL_CITATION {"citationItems":[{"id":"ITEM-1","itemData":{"URL":"https://www.bigdata-ai.fraunhofer.de/content/dam/bigdata/de/documents/Publikationen/Fraunhofer_Studie_ML_201809.pdf","author":[{"dropping-particle":"","family":"Döbel","given":"Inga","non-dropping-particle":"","parse-names":false,"suffix":""},{"dropping-particle":"","family":"Leis","given":"Miriam","non-dropping-particle":"","parse-names":false,"suffix":""},{"dropping-particle":"","family":"Vogelsang","given":"Manuel Molina","non-dropping-particle":"","parse-names":false,"suffix":""},{"dropping-particle":"","family":"Neustroev","given":"Dimitry","non-dropping-particle":"","parse-names":false,"suffix":""},{"dropping-particle":"","family":"Petzka","given":"Henning","non-dropping-particle":"","parse-names":false,"suffix":""},{"dropping-particle":"","family":"Riemer","given":"Annamaria","non-dropping-particle":"","parse-names":false,"suffix":""},{"dropping-particle":"","family":"Rüping","given":"Stefan","non-dropping-particle":"","parse-names":false,"suffix":""},{"dropping-particle":"","family":"Voss","given":"Angelika","non-dropping-particle":"","parse-names":false,"suffix":""},{"dropping-particle":"","family":"Wegele","given":"Martin","non-dropping-particle":"","parse-names":false,"suffix":""},{"dropping-particle":"","family":"Welz","given":"Juliane","non-dropping-particle":"","parse-names":false,"suffix":""}],"container-title":"Fraunhofer-Gesellschaft zur Förderung der angewandten Forschung e.V.","id":"ITEM-1","issued":{"date-parts":[["2018"]]},"page":"8","publisher":"Fraunhofer-Gesellschaft zur Förderung der angewandten Forschung e.V.","title":"Maschinelles Lernen: Kompetenzen, Forschung, Anwendung","type":"webpage"},"uris":["http://www.mendeley.com/documents/?uuid=6b515d4b-17c1-4ad0-a4e5-ca8f4825dc74"]}],"mendeley":{"formattedCitation":"[8]","manualFormatting":"[8, Seite 8]","plainTextFormattedCitation":"[8]","previouslyFormattedCitation":"[8]"},"properties":{"noteIndex":0},"schema":"https://github.com/citation-style-language/schema/raw/master/csl-citation.json"}</w:instrText>
      </w:r>
      <w:r>
        <w:rPr/>
        <w:fldChar w:fldCharType="separate"/>
      </w:r>
      <w:bookmarkStart w:id="39" w:name="__Fieldmark__637_2337847765"/>
      <w:r>
        <w:rPr/>
        <w:t>[</w:t>
      </w:r>
      <w:bookmarkStart w:id="40" w:name="__Fieldmark__1094_983630037"/>
      <w:r>
        <w:rPr/>
        <w:t>8, Seite 8]</w:t>
      </w:r>
      <w:r>
        <w:rPr/>
      </w:r>
      <w:r>
        <w:rPr/>
        <w:fldChar w:fldCharType="end"/>
      </w:r>
      <w:bookmarkEnd w:id="39"/>
      <w:bookmarkEnd w:id="40"/>
      <w:r>
        <w:rPr/>
        <w:t xml:space="preserve">. Dabei wird versucht die menschliche Intelligenz bzw. die Entscheidungsstrukturen des Menschen mithilfe von Algorithmen und mathematischen Modellen in Computersystemen nachzubilden und diese auf eigene Problemstellungen anzuwenden. Im Zusammenhang mit KI wird zwischen schwacher und starker KI differenziert. Schwache KIs können nur in einem Bereich ein konkretes Anwendungsproblem bewältigen. D.h. sie sind nicht in der Lage Erlerntes auf andere Bereiche zu übertragen. Typische Anwendungsgebiete sind: </w:t>
      </w:r>
      <w:r>
        <w:rPr>
          <w:shd w:fill="FFFFFF" w:val="clear"/>
        </w:rPr>
        <w:t xml:space="preserve">Schach/- GO-Computer, Bilderkennung, Spracherkennung, personalisierte Werbung und automatisierte Übersetzung. </w:t>
      </w:r>
    </w:p>
    <w:p>
      <w:pPr>
        <w:pStyle w:val="Normal"/>
        <w:rPr>
          <w:highlight w:val="white"/>
        </w:rPr>
      </w:pPr>
      <w:r>
        <w:rPr>
          <w:shd w:fill="FFFFFF" w:val="clear"/>
        </w:rPr>
        <w:t xml:space="preserve">Eine starke KI hingegen besitzt intellektuelle Fähigkeiten auf Augenhöhe eines Menschen. Diese beruhen darauf, dass die KI in der Lage ist erlerntes Wissen in andere Bereiche zu übertragen und auf neue Probleme anzuwenden. Jedoch existieren solche starken KIs zurzeit noch nicht. Ob und wann es eine solche allgemeine Intelligenz geben wird, ist in der Wissenschaft umstritten </w:t>
      </w:r>
      <w:r>
        <w:fldChar w:fldCharType="begin"/>
      </w:r>
      <w:r>
        <w:rPr/>
        <w:instrText>ADDIN CSL_CITATION {"citationItems":[{"id":"ITEM-1","itemData":{"DOI":"10.1057/s41599-020-0494-4","ISSN":"26629992","abstract":"The modern project of creating human-like artificial intelligence (AI) started after World War II, when it was discovered that electronic computers are not just number-crunching machines, but can also manipulate symbols. It is possible to pursue this goal without assuming that machine intelligence is identical to human intelligence. This is known as weak AI. However, many AI researcher have pursued the aim of developing artificial intelligence that is in principle identical to human intelligence, called strong AI. Weak AI is less ambitious than strong AI, and therefore less controversial. However, there are important controversies related to weak AI as well. This paper focuses on the distinction between artificial general intelligence (AGI) and artificial narrow intelligence (ANI). Although AGI may be classified as weak AI, it is close to strong AI because one chief characteristics of human intelligence is its generality. Although AGI is less ambitious than strong AI, there were critics almost from the very beginning. One of the leading critics was the philosopher Hubert Dreyfus, who argued that computers, who have no body, no childhood and no cultural practice, could not acquire intelligence at all. One of Dreyfus’ main arguments was that human knowledge is partly tacit, and therefore cannot be articulated and incorporated in a computer program. However, today one might argue that new approaches to artificial intelligence research have made his arguments obsolete. Deep learning and Big Data are among the latest approaches, and advocates argue that they will be able to realize AGI. A closer look reveals that although development of artificial intelligence for specific purposes (ANI) has been impressive, we have not come much closer to developing artificial general intelligence (AGI). The article further argues that this is in principle impossible, and it revives Hubert Dreyfus’ argument that computers are not in the world.","author":[{"dropping-particle":"","family":"Fjelland","given":"Ragnar","non-dropping-particle":"","parse-names":false,"suffix":""}],"container-title":"Humanities and Social Sciences Communications","id":"ITEM-1","issue":"1","issued":{"date-parts":[["2020"]]},"page":"1-9","title":"Why general artificial intelligence will not be realized","type":"article-journal","volume":"7"},"uris":["http://www.mendeley.com/documents/?uuid=058ff167-9e1d-441e-8d93-a226930930a9"]}],"mendeley":{"formattedCitation":"[9]","plainTextFormattedCitation":"[9]","previouslyFormattedCitation":"[9]"},"properties":{"noteIndex":0},"schema":"https://github.com/citation-style-language/schema/raw/master/csl-citation.json"}</w:instrText>
      </w:r>
      <w:r>
        <w:rPr/>
        <w:fldChar w:fldCharType="separate"/>
      </w:r>
      <w:bookmarkStart w:id="41" w:name="__Fieldmark__646_2337847765"/>
      <w:r>
        <w:rPr/>
      </w:r>
      <w:r>
        <w:rPr>
          <w:shd w:fill="FFFFFF" w:val="clear"/>
        </w:rPr>
        <w:t>[</w:t>
      </w:r>
      <w:bookmarkStart w:id="42" w:name="__Fieldmark__1158_983630037"/>
      <w:r>
        <w:rPr>
          <w:shd w:fill="FFFFFF" w:val="clear"/>
        </w:rPr>
        <w:t>9]</w:t>
      </w:r>
      <w:r>
        <w:rPr/>
      </w:r>
      <w:r>
        <w:rPr/>
        <w:fldChar w:fldCharType="end"/>
      </w:r>
      <w:bookmarkEnd w:id="41"/>
      <w:bookmarkEnd w:id="42"/>
      <w:r>
        <w:rPr>
          <w:shd w:fill="FFFFFF" w:val="clear"/>
        </w:rPr>
        <w:t>. Der Streitpunkt ist dabei, inwiefern sich typisch menschliche Eigenschaften, wie das Vorhandensein eines Bewusstseins, mit einer KI vereinbaren lassen.</w:t>
      </w:r>
    </w:p>
    <w:p>
      <w:pPr>
        <w:pStyle w:val="Normal"/>
        <w:rPr>
          <w:highlight w:val="white"/>
        </w:rPr>
      </w:pPr>
      <w:r>
        <w:rPr>
          <w:shd w:fill="FFFFFF" w:val="clear"/>
        </w:rPr>
        <w:t xml:space="preserve">Die Anfänge in der Forschung und Entwicklung der KI lassen sich auf das Jahr 1956 datieren, als am Dartmouth College eine Konferenz namens Dartmouth Conference stattfand. Einen ersten Boom verzeichneten KIs in den 1980er Jahren über die sogenannten Expertensysteme. Die Entscheidungen, welche von den Expertensystemen getroffen werden, basieren auf einer langen Kette von Implikation. Im zweiten KI-Winter sank das öffentliche Interesse an KI und damit auch die Gelder für die Forschung. Durch die Verwendung von maschinellem Lernen, einer weiteren bedeutsamen Untergruppe der KI, erlebt diese in dem 21. Jahrhundert eine Blütezeit (siehe </w:t>
      </w:r>
      <w:r>
        <w:rPr>
          <w:shd w:fill="FFFFFF" w:val="clear"/>
        </w:rPr>
        <w:fldChar w:fldCharType="begin"/>
      </w:r>
      <w:r>
        <w:rPr>
          <w:shd w:fill="FFFFFF" w:val="clear"/>
        </w:rPr>
        <w:instrText> REF _Ref65165195 \h </w:instrText>
      </w:r>
      <w:r>
        <w:rPr>
          <w:shd w:fill="FFFFFF" w:val="clear"/>
        </w:rPr>
        <w:fldChar w:fldCharType="separate"/>
      </w:r>
      <w:r>
        <w:rPr>
          <w:shd w:fill="FFFFFF" w:val="clear"/>
        </w:rPr>
        <w:t>Abbildung 1</w:t>
      </w:r>
      <w:r>
        <w:rPr>
          <w:shd w:fill="FFFFFF" w:val="clear"/>
        </w:rPr>
        <w:fldChar w:fldCharType="end"/>
      </w:r>
      <w:r>
        <w:rPr>
          <w:shd w:fill="FFFFFF" w:val="clear"/>
        </w:rPr>
        <w:t xml:space="preserve">). </w:t>
      </w:r>
    </w:p>
    <w:p>
      <w:pPr>
        <w:pStyle w:val="Abbildung"/>
        <w:rPr/>
      </w:pPr>
      <w:r>
        <w:rPr/>
        <w:drawing>
          <wp:inline distT="0" distB="0" distL="0" distR="0">
            <wp:extent cx="3869055" cy="2334260"/>
            <wp:effectExtent l="0" t="0" r="0" b="0"/>
            <wp:docPr id="3"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7" descr=""/>
                    <pic:cNvPicPr>
                      <a:picLocks noChangeAspect="1" noChangeArrowheads="1"/>
                    </pic:cNvPicPr>
                  </pic:nvPicPr>
                  <pic:blipFill>
                    <a:blip r:embed="rId6"/>
                    <a:srcRect l="9409" t="17845" r="43204" b="61939"/>
                    <a:stretch>
                      <a:fillRect/>
                    </a:stretch>
                  </pic:blipFill>
                  <pic:spPr bwMode="auto">
                    <a:xfrm>
                      <a:off x="0" y="0"/>
                      <a:ext cx="3869055" cy="2334260"/>
                    </a:xfrm>
                    <a:prstGeom prst="rect">
                      <a:avLst/>
                    </a:prstGeom>
                  </pic:spPr>
                </pic:pic>
              </a:graphicData>
            </a:graphic>
          </wp:inline>
        </w:drawing>
      </w:r>
    </w:p>
    <w:p>
      <w:pPr>
        <w:pStyle w:val="Caption"/>
        <w:jc w:val="both"/>
        <w:rPr/>
      </w:pPr>
      <w:bookmarkStart w:id="43" w:name="_Ref65165195"/>
      <w:r>
        <w:rPr/>
        <w:t xml:space="preserve">Abbildung </w:t>
      </w:r>
      <w:r>
        <w:rPr/>
        <w:fldChar w:fldCharType="begin"/>
      </w:r>
      <w:r>
        <w:rPr/>
        <w:instrText> SEQ Abbildung \* ARABIC </w:instrText>
      </w:r>
      <w:r>
        <w:rPr/>
        <w:fldChar w:fldCharType="separate"/>
      </w:r>
      <w:r>
        <w:rPr/>
        <w:t>1</w:t>
      </w:r>
      <w:r>
        <w:rPr/>
        <w:fldChar w:fldCharType="end"/>
      </w:r>
      <w:bookmarkEnd w:id="43"/>
      <w:r>
        <w:rPr/>
        <w:t>: Entwicklung der Publikationen im Bereich maschinelles Lernen für Deutschland (DE), Frankreich (FR), Großbritannien (UK), USA (US) und China (CN) sowie die restlichen EU-Staaten und übrige Länder</w:t>
        <w:br/>
      </w:r>
      <w:commentRangeStart w:id="4"/>
      <w:r>
        <w:rPr/>
        <w:t xml:space="preserve">Quelle: Frauenhofer…. S. </w:t>
      </w:r>
      <w:commentRangeEnd w:id="4"/>
      <w:r>
        <w:commentReference w:id="4"/>
      </w:r>
      <w:r>
        <w:rPr/>
      </w:r>
    </w:p>
    <w:p>
      <w:pPr>
        <w:pStyle w:val="Normal"/>
        <w:spacing w:lineRule="auto" w:line="259" w:before="0" w:after="160"/>
        <w:jc w:val="left"/>
        <w:rPr>
          <w:highlight w:val="white"/>
        </w:rPr>
      </w:pPr>
      <w:r>
        <w:rPr>
          <w:highlight w:val="white"/>
        </w:rPr>
      </w:r>
    </w:p>
    <w:p>
      <w:pPr>
        <w:pStyle w:val="Berschrift3"/>
        <w:numPr>
          <w:ilvl w:val="2"/>
          <w:numId w:val="2"/>
        </w:numPr>
        <w:rPr>
          <w:highlight w:val="white"/>
        </w:rPr>
      </w:pPr>
      <w:bookmarkStart w:id="44" w:name="_Toc66477594"/>
      <w:bookmarkStart w:id="45" w:name="_Toc66981152"/>
      <w:r>
        <w:rPr>
          <w:shd w:fill="FFFFFF" w:val="clear"/>
        </w:rPr>
        <w:t>maschinelles Lernen</w:t>
      </w:r>
      <w:bookmarkEnd w:id="44"/>
      <w:bookmarkEnd w:id="45"/>
    </w:p>
    <w:p>
      <w:pPr>
        <w:pStyle w:val="Normal"/>
        <w:rPr>
          <w:highlight w:val="white"/>
        </w:rPr>
      </w:pPr>
      <w:r>
        <w:rPr>
          <w:shd w:fill="FFFFFF" w:val="clear"/>
        </w:rPr>
        <w:t xml:space="preserve">Maschinelles Lernen stellt ein wichtiger Zweig von KI dar. </w:t>
      </w:r>
      <w:r>
        <w:rPr>
          <w:shd w:fill="FFFFFF" w:val="clear"/>
        </w:rPr>
        <w:fldChar w:fldCharType="begin"/>
      </w:r>
      <w:r>
        <w:rPr>
          <w:shd w:fill="FFFFFF" w:val="clear"/>
        </w:rPr>
        <w:instrText> REF _Ref65267911 \h </w:instrText>
      </w:r>
      <w:r>
        <w:rPr>
          <w:shd w:fill="FFFFFF" w:val="clear"/>
        </w:rPr>
        <w:fldChar w:fldCharType="separate"/>
      </w:r>
      <w:r>
        <w:rPr>
          <w:shd w:fill="FFFFFF" w:val="clear"/>
        </w:rPr>
        <w:t>Abbildung 2</w:t>
      </w:r>
      <w:r>
        <w:rPr>
          <w:shd w:fill="FFFFFF" w:val="clear"/>
        </w:rPr>
        <w:fldChar w:fldCharType="end"/>
      </w:r>
      <w:r>
        <w:rPr>
          <w:shd w:fill="FFFFFF" w:val="clear"/>
        </w:rPr>
        <w:t xml:space="preserve"> veranschaulicht das grundlegende Prinzip des maschinellen Lernens.</w:t>
      </w:r>
    </w:p>
    <w:p>
      <w:pPr>
        <w:pStyle w:val="Abbildung"/>
        <w:rPr/>
      </w:pPr>
      <w:r>
        <w:rPr/>
        <w:t xml:space="preserve"> </w:t>
      </w:r>
      <w:r>
        <w:rPr/>
        <w:drawing>
          <wp:inline distT="0" distB="0" distL="0" distR="0">
            <wp:extent cx="5236210" cy="2026920"/>
            <wp:effectExtent l="0" t="0" r="0" b="0"/>
            <wp:docPr id="4"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0" descr=""/>
                    <pic:cNvPicPr>
                      <a:picLocks noChangeAspect="1" noChangeArrowheads="1"/>
                    </pic:cNvPicPr>
                  </pic:nvPicPr>
                  <pic:blipFill>
                    <a:blip r:embed="rId7"/>
                    <a:srcRect l="15357" t="18994" r="11928" b="30974"/>
                    <a:stretch>
                      <a:fillRect/>
                    </a:stretch>
                  </pic:blipFill>
                  <pic:spPr bwMode="auto">
                    <a:xfrm>
                      <a:off x="0" y="0"/>
                      <a:ext cx="5236210" cy="2026920"/>
                    </a:xfrm>
                    <a:prstGeom prst="rect">
                      <a:avLst/>
                    </a:prstGeom>
                  </pic:spPr>
                </pic:pic>
              </a:graphicData>
            </a:graphic>
          </wp:inline>
        </w:drawing>
      </w:r>
    </w:p>
    <w:p>
      <w:pPr>
        <w:pStyle w:val="Caption"/>
        <w:rPr/>
      </w:pPr>
      <w:bookmarkStart w:id="46" w:name="_Ref65267911"/>
      <w:r>
        <w:rPr/>
        <w:t xml:space="preserve">Abbildung </w:t>
      </w:r>
      <w:r>
        <w:rPr/>
        <w:fldChar w:fldCharType="begin"/>
      </w:r>
      <w:r>
        <w:rPr/>
        <w:instrText> SEQ Abbildung \* ARABIC </w:instrText>
      </w:r>
      <w:r>
        <w:rPr/>
        <w:fldChar w:fldCharType="separate"/>
      </w:r>
      <w:r>
        <w:rPr/>
        <w:t>2</w:t>
      </w:r>
      <w:r>
        <w:rPr/>
        <w:fldChar w:fldCharType="end"/>
      </w:r>
      <w:bookmarkEnd w:id="46"/>
      <w:r>
        <w:rPr/>
        <w:t xml:space="preserve">: Grundlegendes Prinzip des maschinellen Lernens; </w:t>
      </w:r>
      <w:commentRangeStart w:id="5"/>
      <w:r>
        <w:rPr/>
        <w:t>icon quelle</w:t>
      </w:r>
      <w:bookmarkStart w:id="47" w:name="_Ref65267907"/>
      <w:bookmarkEnd w:id="47"/>
      <w:commentRangeEnd w:id="5"/>
      <w:r>
        <w:commentReference w:id="5"/>
      </w:r>
      <w:r>
        <w:rPr/>
      </w:r>
    </w:p>
    <w:p>
      <w:pPr>
        <w:pStyle w:val="Caption"/>
        <w:rPr/>
      </w:pPr>
      <w:r>
        <w:rPr/>
      </w:r>
    </w:p>
    <w:p>
      <w:pPr>
        <w:pStyle w:val="Normal"/>
        <w:rPr/>
      </w:pPr>
      <w:r>
        <w:rPr/>
        <w:t>Ein IT-System, bestehend aus Lernalgorithmen und mathematischen Modellen, bekommt als Input einen Datensatz und ist in der Lage in diesem Muster und Zusammenhänge zu erkennen.  Das erlernte Wissen wird von dem System genutzt, um selbständig ein Modell zu trainieren, welches eine mathematische Beschreibung der im Datensatz gefundenen Gesetzmäßigkeiten ist. Dieses Modell ist der Output des Systems und kann anschließend, auf für das System unbekannte Daten, angewendet werden, um neue Erkenntnisse zu gewinnen. Zusammenfassend kann man sagen, dass der große Unterschied von maschinellem Lernen zu herkömmlichem Programmieren ist, dass der Mensch dem IT</w:t>
        <w:noBreakHyphen/>
        <w:t>System keine direkten Regeln vorgibt, nach denen ein bestimmter Output auszugeben ist, sondern, dass das IT</w:t>
        <w:noBreakHyphen/>
        <w:t xml:space="preserve">System diese selbständig finden muss. </w:t>
      </w:r>
    </w:p>
    <w:p>
      <w:pPr>
        <w:pStyle w:val="Normal"/>
        <w:rPr/>
      </w:pPr>
      <w:r>
        <w:rPr/>
        <w:t xml:space="preserve">Mit der Technik des maschinellen Lernens ist es möglich riesige Datenmengen effizient zu bearbeiten, was dem Menschen schlicht aufgrund der großen Menge nicht möglich wäre. Maschinelles Lernen lässt sich heutzutage in Bereichen wie der Bilderkennung oder der Textanalyse finden. </w:t>
      </w:r>
    </w:p>
    <w:p>
      <w:pPr>
        <w:pStyle w:val="Normal"/>
        <w:rPr/>
      </w:pPr>
      <w:r>
        <w:rPr/>
        <w:t xml:space="preserve">Ein viel zitiertes Beispiel ist der </w:t>
      </w:r>
      <w:bookmarkStart w:id="48" w:name="Antispamfilter"/>
      <w:r>
        <w:rPr/>
        <w:t xml:space="preserve">Einsatz in Antispamfiltern </w:t>
      </w:r>
      <w:bookmarkEnd w:id="48"/>
      <w:r>
        <w:rPr/>
        <w:t xml:space="preserve">für E-Mails </w:t>
      </w:r>
      <w:r>
        <w:fldChar w:fldCharType="begin"/>
      </w:r>
      <w:r>
        <w:rPr/>
        <w:instrText>ADDIN CSL_CITATION {"citationItems":[{"id":"ITEM-1","itemData":{"URL":"https://towardsdatascience.com/email-spam-detection-1-2-b0e06a5c0472","accessed":{"date-parts":[["2021","2","20"]]},"id":"ITEM-1","issued":{"date-parts":[["0"]]},"title":"How To Design A Spam Filtering System with Machine Learning Algorithm","type":"webpage"},"uris":["http://www.mendeley.com/documents/?uuid=5450c05f-67e9-46a1-b57b-6094933af9f7"]}],"mendeley":{"formattedCitation":"[10]","plainTextFormattedCitation":"[10]","previouslyFormattedCitation":"[10]"},"properties":{"noteIndex":0},"schema":"https://github.com/citation-style-language/schema/raw/master/csl-citation.json"}</w:instrText>
      </w:r>
      <w:r>
        <w:rPr/>
        <w:fldChar w:fldCharType="separate"/>
      </w:r>
      <w:bookmarkStart w:id="49" w:name="__Fieldmark__710_2337847765"/>
      <w:r>
        <w:rPr/>
        <w:t>[</w:t>
      </w:r>
      <w:bookmarkStart w:id="50" w:name="__Fieldmark__1335_983630037"/>
      <w:r>
        <w:rPr/>
        <w:t>10]</w:t>
      </w:r>
      <w:r>
        <w:rPr/>
      </w:r>
      <w:r>
        <w:rPr/>
        <w:fldChar w:fldCharType="end"/>
      </w:r>
      <w:bookmarkEnd w:id="49"/>
      <w:bookmarkEnd w:id="50"/>
      <w:r>
        <w:rPr/>
        <w:t xml:space="preserve">.  Hierfür wird ein Modell mit einem Trainingsdatensatz, bestehend aus vielen E-Mails und dem zugehörigen Label </w:t>
      </w:r>
      <w:r>
        <w:rPr>
          <w:i/>
          <w:iCs/>
        </w:rPr>
        <w:t>Spam</w:t>
        <w:noBreakHyphen/>
        <w:t>E</w:t>
        <w:noBreakHyphen/>
        <w:t xml:space="preserve">Mail </w:t>
      </w:r>
      <w:r>
        <w:rPr/>
        <w:t>oder</w:t>
      </w:r>
      <w:r>
        <w:rPr>
          <w:i/>
          <w:iCs/>
        </w:rPr>
        <w:t xml:space="preserve"> keine Spam</w:t>
        <w:noBreakHyphen/>
        <w:t>E</w:t>
        <w:noBreakHyphen/>
        <w:t>Mail</w:t>
      </w:r>
      <w:r>
        <w:rPr/>
        <w:t>, trainiert. Das trainierte Modell ist dann in der Lage bei einer unbekannten E</w:t>
        <w:noBreakHyphen/>
        <w:t xml:space="preserve">Mail zu erkennen, ob es sich um eine </w:t>
      </w:r>
      <w:r>
        <w:rPr>
          <w:i/>
          <w:iCs/>
        </w:rPr>
        <w:t>Spam</w:t>
        <w:noBreakHyphen/>
        <w:t>E</w:t>
        <w:noBreakHyphen/>
        <w:t xml:space="preserve">Mail </w:t>
      </w:r>
      <w:r>
        <w:rPr/>
        <w:t>handelt, oder nicht.</w:t>
      </w:r>
    </w:p>
    <w:p>
      <w:pPr>
        <w:pStyle w:val="Normal"/>
        <w:rPr/>
      </w:pPr>
      <w:r>
        <w:rPr/>
      </w:r>
    </w:p>
    <w:p>
      <w:pPr>
        <w:pStyle w:val="Normal"/>
        <w:rPr/>
      </w:pPr>
      <w:r>
        <w:rPr/>
        <w:t xml:space="preserve">Die klassischen Schritte des maschinellen Lernens sind: </w:t>
      </w:r>
    </w:p>
    <w:p>
      <w:pPr>
        <w:pStyle w:val="Normal"/>
        <w:rPr>
          <w:b/>
          <w:b/>
          <w:bCs/>
        </w:rPr>
      </w:pPr>
      <w:bookmarkStart w:id="51" w:name="Datenerfassung"/>
      <w:r>
        <w:rPr>
          <w:b/>
          <w:bCs/>
        </w:rPr>
        <w:t>Datenerfassung</w:t>
      </w:r>
      <w:bookmarkEnd w:id="51"/>
      <w:r>
        <w:rPr>
          <w:b/>
          <w:bCs/>
        </w:rPr>
        <w:t xml:space="preserve">: </w:t>
      </w:r>
      <w:r>
        <w:rPr/>
        <w:t xml:space="preserve">Überführen der Rohdaten, inklusive der Label, in eine maschinenlesbare Form. </w:t>
      </w:r>
    </w:p>
    <w:p>
      <w:pPr>
        <w:pStyle w:val="Normal"/>
        <w:rPr>
          <w:b/>
          <w:b/>
          <w:bCs/>
        </w:rPr>
      </w:pPr>
      <w:r>
        <w:rPr>
          <w:b/>
          <w:bCs/>
        </w:rPr>
        <w:t xml:space="preserve">Datenaufbereitung: </w:t>
      </w:r>
      <w:r>
        <w:rPr/>
        <w:t xml:space="preserve">Vorbereitung der Daten (z.B. Normalisieren und Durchmischen der Reihenfolge); Am Ende wird der fertige Datensatz auf einen getrennten Test- und Trainingsdatensatz aufgeteilt. Das Verhältnis in dem zufällig gesplittet wird ist standardmäßig 70 % Trainingsdatensatz zu 30 % Testdatensatz, kann aber auch variiert werden. Es ist wichtig sicherzustellen, dass die Verteilung der Daten zwischen den beiden erzeugten Datensätzen ähnlich ist. Eine Möglichkeit die Ähnlichkeit zu bewerten, ist der Vergleich der Anteile der identischen Label in beiden Datensätzen. Bei dem </w:t>
      </w:r>
      <w:r>
        <w:rPr/>
        <w:fldChar w:fldCharType="begin"/>
      </w:r>
      <w:r>
        <w:rPr/>
        <w:instrText> REF Antispamfilter \p \h </w:instrText>
      </w:r>
      <w:r>
        <w:rPr/>
        <w:fldChar w:fldCharType="separate"/>
      </w:r>
      <w:r>
        <w:rPr/>
        <w:t>oben</w:t>
      </w:r>
      <w:r>
        <w:rPr/>
        <w:fldChar w:fldCharType="end"/>
      </w:r>
      <w:r>
        <w:rPr/>
        <w:t xml:space="preserve"> beschriebenen Antispamfilter, stellt man so sicher, dass der Anteil der Spam-E-Mails in beiden Datensätzen ähnlich groß ist. Es wird vermieden, dass das Modell einseitig trainiert wird und dadurch eine spätere Bewertung des Models weniger aussagekräftig werden würde.</w:t>
      </w:r>
    </w:p>
    <w:p>
      <w:pPr>
        <w:pStyle w:val="Normal"/>
        <w:rPr/>
      </w:pPr>
      <w:r>
        <w:rPr>
          <w:b/>
          <w:bCs/>
        </w:rPr>
        <w:t>Auswahl des passenden Modells:</w:t>
      </w:r>
      <w:r>
        <w:rPr/>
        <w:t xml:space="preserve"> Je nach Anforderung, wird aus mehrenden Modellen ein passendes ausgewählt. In </w:t>
      </w:r>
      <w:r>
        <w:rPr/>
        <w:fldChar w:fldCharType="begin"/>
      </w:r>
      <w:r>
        <w:rPr/>
        <w:instrText> REF _Ref65268534 \h </w:instrText>
      </w:r>
      <w:r>
        <w:rPr/>
        <w:fldChar w:fldCharType="separate"/>
      </w:r>
      <w:r>
        <w:rPr/>
        <w:t>Abbildung 3</w:t>
      </w:r>
      <w:r>
        <w:rPr/>
        <w:fldChar w:fldCharType="end"/>
      </w:r>
      <w:r>
        <w:rPr/>
        <w:fldChar w:fldCharType="begin"/>
      </w:r>
      <w:r>
        <w:rPr/>
        <w:instrText> REF _Ref65268126 \h </w:instrText>
      </w:r>
      <w:r>
        <w:rPr/>
        <w:fldChar w:fldCharType="separate"/>
      </w:r>
      <w:r>
        <w:rPr/>
        <w:t>Fehler: Verweis nicht gefunden</w:t>
      </w:r>
      <w:r>
        <w:rPr/>
        <w:fldChar w:fldCharType="end"/>
      </w:r>
      <w:r>
        <w:rPr/>
        <w:t xml:space="preserve"> sind einige Modelle hierarchisch dargestellt. Grundsätzlich wird, wenn die Daten nicht gelabelt sind, von unüberwachtem Lernen gesprochen. Der Antispamfilter ist ein Beispiel für überwachtes Lernen, da wie </w:t>
      </w:r>
      <w:r>
        <w:rPr/>
        <w:fldChar w:fldCharType="begin"/>
      </w:r>
      <w:r>
        <w:rPr/>
        <w:instrText> REF Antispamfilter \p \h </w:instrText>
      </w:r>
      <w:r>
        <w:rPr/>
        <w:fldChar w:fldCharType="separate"/>
      </w:r>
      <w:r>
        <w:rPr/>
        <w:t>oben</w:t>
      </w:r>
      <w:r>
        <w:rPr/>
        <w:fldChar w:fldCharType="end"/>
      </w:r>
      <w:r>
        <w:rPr/>
        <w:t xml:space="preserve"> beschrieben, die Daten gelabelt sind. Ein überwachtes Lernen Modell wird mit gelabelten Daten trainiert, so dass es zukünftig zu nicht gelabelten Daten ein Label als Output vorhersagen kann. Innerhalb des überwachten Lernens wird zwischen den beiden Aufgabentypen Regression und Klassifizierung differenziert. Das Entscheidende einer Klassifizierung, zu der auch der Antispamfilter gehört, ist, dass die Anzahl möglicher Label endlich ist. Bei einer Regression hingegen weist das Modell dem Datenpunkt einen stetigen Wert zu, d.h. das Label hat unendlich viele Ausprägungen. Die für diese Arbeit wichtigen Modelle sind </w:t>
      </w:r>
      <w:r>
        <w:rPr/>
        <w:fldChar w:fldCharType="begin"/>
      </w:r>
      <w:r>
        <w:rPr/>
        <w:instrText> REF _Ref66721820 \h </w:instrText>
      </w:r>
      <w:r>
        <w:rPr/>
        <w:fldChar w:fldCharType="separate"/>
      </w:r>
      <w:r>
        <w:rPr/>
        <w:t>Kern-Methoden</w:t>
      </w:r>
      <w:r>
        <w:rPr/>
        <w:fldChar w:fldCharType="end"/>
      </w:r>
      <w:r>
        <w:rPr/>
        <w:t xml:space="preserve"> und </w:t>
      </w:r>
      <w:r>
        <w:rPr/>
        <w:fldChar w:fldCharType="begin"/>
      </w:r>
      <w:r>
        <w:rPr/>
        <w:instrText> REF _Ref66721837 \h </w:instrText>
      </w:r>
      <w:r>
        <w:rPr/>
        <w:fldChar w:fldCharType="separate"/>
      </w:r>
      <w:r>
        <w:rPr/>
        <w:t>Neuronale Netze</w:t>
      </w:r>
      <w:r>
        <w:rPr/>
        <w:fldChar w:fldCharType="end"/>
      </w:r>
      <w:r>
        <w:rPr/>
        <w:t xml:space="preserve">. Bei beiden handelt es sich um überwachtes Lernen in Verbindung mit einer Klassifizierungsaufgabe.  </w:t>
      </w:r>
    </w:p>
    <w:p>
      <w:pPr>
        <w:pStyle w:val="Abbildung"/>
        <w:rPr/>
      </w:pPr>
      <w:r>
        <w:rPr/>
        <w:drawing>
          <wp:inline distT="0" distB="0" distL="0" distR="0">
            <wp:extent cx="5731510" cy="3224530"/>
            <wp:effectExtent l="0" t="0" r="0" b="0"/>
            <wp:docPr id="5"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 descr=""/>
                    <pic:cNvPicPr>
                      <a:picLocks noChangeAspect="1" noChangeArrowheads="1"/>
                    </pic:cNvPicPr>
                  </pic:nvPicPr>
                  <pic:blipFill>
                    <a:blip r:embed="rId8"/>
                    <a:stretch>
                      <a:fillRect/>
                    </a:stretch>
                  </pic:blipFill>
                  <pic:spPr bwMode="auto">
                    <a:xfrm>
                      <a:off x="0" y="0"/>
                      <a:ext cx="5731510" cy="3224530"/>
                    </a:xfrm>
                    <a:prstGeom prst="rect">
                      <a:avLst/>
                    </a:prstGeom>
                  </pic:spPr>
                </pic:pic>
              </a:graphicData>
            </a:graphic>
          </wp:inline>
        </w:drawing>
      </w:r>
    </w:p>
    <w:p>
      <w:pPr>
        <w:pStyle w:val="Caption"/>
        <w:rPr/>
      </w:pPr>
      <w:bookmarkStart w:id="52" w:name="_Ref65268534"/>
      <w:r>
        <w:rPr>
          <w:b/>
          <w:bCs/>
        </w:rPr>
        <w:t xml:space="preserve">Abbildung </w:t>
      </w:r>
      <w:r>
        <w:rPr>
          <w:b/>
          <w:bCs/>
        </w:rPr>
        <w:fldChar w:fldCharType="begin"/>
      </w:r>
      <w:r>
        <w:rPr>
          <w:b/>
          <w:bCs/>
        </w:rPr>
        <w:instrText> SEQ Abbildung \* ARABIC </w:instrText>
      </w:r>
      <w:r>
        <w:rPr>
          <w:b/>
          <w:bCs/>
        </w:rPr>
        <w:fldChar w:fldCharType="separate"/>
      </w:r>
      <w:r>
        <w:rPr>
          <w:b/>
          <w:bCs/>
        </w:rPr>
        <w:t>3</w:t>
      </w:r>
      <w:r>
        <w:rPr>
          <w:b/>
          <w:bCs/>
        </w:rPr>
        <w:fldChar w:fldCharType="end"/>
      </w:r>
      <w:bookmarkEnd w:id="52"/>
      <w:r>
        <w:rPr>
          <w:b/>
          <w:bCs/>
        </w:rPr>
        <w:t>:</w:t>
      </w:r>
      <w:r>
        <w:rPr/>
        <w:t xml:space="preserve"> Übersicht über verschiedene </w:t>
      </w:r>
      <w:bookmarkStart w:id="53" w:name="_Hlk66406795"/>
      <w:r>
        <w:rPr/>
        <w:t xml:space="preserve">Modelle </w:t>
      </w:r>
      <w:bookmarkEnd w:id="53"/>
      <w:r>
        <w:rPr/>
        <w:t xml:space="preserve">des maschinellen Lernens. Die für diese Arbeit relevanten Modelle sind in orangener Farbe dargestellt. </w:t>
      </w:r>
      <w:commentRangeStart w:id="6"/>
      <w:r>
        <w:rPr/>
        <w:t>Quelle (selbst gemacht, Vorlage aus dem Paper)</w:t>
      </w:r>
      <w:commentRangeEnd w:id="6"/>
      <w:r>
        <w:commentReference w:id="6"/>
      </w:r>
      <w:r>
        <w:rPr/>
      </w:r>
    </w:p>
    <w:p>
      <w:pPr>
        <w:pStyle w:val="Caption"/>
        <w:jc w:val="both"/>
        <w:rPr/>
      </w:pPr>
      <w:r>
        <w:rPr/>
      </w:r>
    </w:p>
    <w:p>
      <w:pPr>
        <w:pStyle w:val="Normal"/>
        <w:rPr/>
      </w:pPr>
      <w:r>
        <w:rPr>
          <w:b/>
          <w:bCs/>
        </w:rPr>
        <w:t xml:space="preserve">Trainieren des Modells: </w:t>
      </w:r>
      <w:r>
        <w:rPr/>
        <w:t xml:space="preserve">Beim Modelltraining wird das Modell mit dem Testdatensatz dahingehend optimiert, dass es später möglichst gut mit den unbekannten Daten zurechtkommt. Es kann beim Trainieren des Modells zu den in </w:t>
      </w:r>
      <w:r>
        <w:rPr/>
        <w:fldChar w:fldCharType="begin"/>
      </w:r>
      <w:r>
        <w:rPr/>
        <w:instrText> REF _Ref65188375 \h </w:instrText>
      </w:r>
      <w:r>
        <w:rPr/>
        <w:fldChar w:fldCharType="separate"/>
      </w:r>
      <w:r>
        <w:rPr/>
        <w:t>Abbildung 4</w:t>
      </w:r>
      <w:r>
        <w:rPr/>
        <w:fldChar w:fldCharType="end"/>
      </w:r>
      <w:r>
        <w:rPr/>
        <w:t xml:space="preserve"> gezeigten Szenarien kommen.</w:t>
      </w:r>
    </w:p>
    <w:p>
      <w:pPr>
        <w:pStyle w:val="Abbildung"/>
        <w:jc w:val="both"/>
        <w:rPr/>
      </w:pPr>
      <w:r>
        <w:rPr/>
        <w:drawing>
          <wp:inline distT="0" distB="0" distL="0" distR="0">
            <wp:extent cx="5661660" cy="1827530"/>
            <wp:effectExtent l="0" t="0" r="0" b="0"/>
            <wp:docPr id="6" name="Grafi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12" descr=""/>
                    <pic:cNvPicPr>
                      <a:picLocks noChangeAspect="1" noChangeArrowheads="1"/>
                    </pic:cNvPicPr>
                  </pic:nvPicPr>
                  <pic:blipFill>
                    <a:blip r:embed="rId9"/>
                    <a:srcRect l="3219" t="11754" r="13028" b="69134"/>
                    <a:stretch>
                      <a:fillRect/>
                    </a:stretch>
                  </pic:blipFill>
                  <pic:spPr bwMode="auto">
                    <a:xfrm>
                      <a:off x="0" y="0"/>
                      <a:ext cx="5661660" cy="1827530"/>
                    </a:xfrm>
                    <a:prstGeom prst="rect">
                      <a:avLst/>
                    </a:prstGeom>
                  </pic:spPr>
                </pic:pic>
              </a:graphicData>
            </a:graphic>
          </wp:inline>
        </w:drawing>
      </w:r>
    </w:p>
    <w:p>
      <w:pPr>
        <w:pStyle w:val="Caption"/>
        <w:rPr/>
      </w:pPr>
      <w:bookmarkStart w:id="54" w:name="_Ref65188375"/>
      <w:r>
        <w:rPr>
          <w:b/>
          <w:bCs/>
        </w:rPr>
        <w:t xml:space="preserve">Abbildung </w:t>
      </w:r>
      <w:r>
        <w:rPr>
          <w:b/>
          <w:bCs/>
        </w:rPr>
        <w:fldChar w:fldCharType="begin"/>
      </w:r>
      <w:r>
        <w:rPr>
          <w:b/>
          <w:bCs/>
        </w:rPr>
        <w:instrText> SEQ Abbildung \* ARABIC </w:instrText>
      </w:r>
      <w:r>
        <w:rPr>
          <w:b/>
          <w:bCs/>
        </w:rPr>
        <w:fldChar w:fldCharType="separate"/>
      </w:r>
      <w:r>
        <w:rPr>
          <w:b/>
          <w:bCs/>
        </w:rPr>
        <w:t>4</w:t>
      </w:r>
      <w:r>
        <w:rPr>
          <w:b/>
          <w:bCs/>
        </w:rPr>
        <w:fldChar w:fldCharType="end"/>
      </w:r>
      <w:bookmarkEnd w:id="54"/>
      <w:r>
        <w:rPr>
          <w:b/>
          <w:bCs/>
        </w:rPr>
        <w:t>:</w:t>
      </w:r>
      <w:r>
        <w:rPr/>
        <w:t xml:space="preserve"> Unteranpassung </w:t>
      </w:r>
      <w:r>
        <w:rPr>
          <w:i/>
          <w:iCs w:val="false"/>
        </w:rPr>
        <w:t>(underfit),</w:t>
      </w:r>
      <w:r>
        <w:rPr/>
        <w:t xml:space="preserve"> gute Anpassung </w:t>
      </w:r>
      <w:r>
        <w:rPr>
          <w:i/>
          <w:iCs w:val="false"/>
        </w:rPr>
        <w:t xml:space="preserve">(good fit) </w:t>
      </w:r>
      <w:r>
        <w:rPr/>
        <w:t xml:space="preserve">und Überanpassung </w:t>
      </w:r>
      <w:r>
        <w:rPr>
          <w:i/>
          <w:iCs w:val="false"/>
        </w:rPr>
        <w:t>(overfit)</w:t>
      </w:r>
      <w:r>
        <w:rPr/>
        <w:t xml:space="preserve"> beim Modelltraining einer Regression. Die blauen Punkte sind die genauen Werte des Datensatzes und die rote Linie gibt die Näherung durch das trainierte Modell an. Jeder Datenpunkt hat die beiden Eigenschaften </w:t>
      </w:r>
      <w:r>
        <w:rPr/>
      </w:r>
      <m:oMath xmlns:m="http://schemas.openxmlformats.org/officeDocument/2006/math">
        <m:r>
          <w:rPr>
            <w:rFonts w:ascii="Cambria Math" w:hAnsi="Cambria Math"/>
          </w:rPr>
          <m:t xml:space="preserve">x</m:t>
        </m:r>
      </m:oMath>
      <w:r>
        <w:rPr/>
        <w:t xml:space="preserve"> und </w:t>
      </w:r>
      <w:r>
        <w:rPr/>
      </w:r>
      <m:oMath xmlns:m="http://schemas.openxmlformats.org/officeDocument/2006/math">
        <m:r>
          <w:rPr>
            <w:rFonts w:ascii="Cambria Math" w:hAnsi="Cambria Math"/>
          </w:rPr>
          <m:t xml:space="preserve">y</m:t>
        </m:r>
      </m:oMath>
      <w:r>
        <w:rPr/>
        <w:t xml:space="preserve">. </w:t>
      </w:r>
      <w:commentRangeStart w:id="7"/>
      <w:r>
        <w:rPr/>
        <w:t xml:space="preserve">Quelle: Paper </w:t>
      </w:r>
      <w:r>
        <w:rPr/>
      </w:r>
      <w:commentRangeEnd w:id="7"/>
      <w:r>
        <w:commentReference w:id="7"/>
      </w:r>
      <w:r>
        <w:rPr/>
        <w:t xml:space="preserve">     </w:t>
      </w:r>
    </w:p>
    <w:p>
      <w:pPr>
        <w:pStyle w:val="Normal"/>
        <w:rPr/>
      </w:pPr>
      <w:r>
        <w:rPr/>
      </w:r>
    </w:p>
    <w:p>
      <w:pPr>
        <w:pStyle w:val="Normal"/>
        <w:rPr/>
      </w:pPr>
      <w:r>
        <w:rPr/>
        <w:t xml:space="preserve">Von einer Überanpassung ist die Rede, wenn das Modell anfängt sich die Beispiele zu merken, anstelle sich die Werte über gefundene Muster und Zusammenhänge selbst zu erschließen. Bei der Vorhersage mit dem Testdatensatz ist das Modell nicht mehr flexibel genug, um eine gute Vorhersage zu treffen </w:t>
      </w:r>
      <w:r>
        <w:fldChar w:fldCharType="begin"/>
      </w:r>
      <w:r>
        <w:rPr/>
        <w:instrText>ADDIN CSL_CITATION {"citationItems":[{"id":"ITEM-1","itemData":{"URL":"https://docs.microsoft.com/de-de/azure/machine-learning/concept-manage-ml-pitfalls","accessed":{"date-parts":[["2021","2","22"]]},"id":"ITEM-1","issued":{"date-parts":[["0"]]},"title":"Verhindern von Überanpassung und unausgeglichenen Daten durch automatisiertes maschinelles Lernen","type":"webpage"},"uris":["http://www.mendeley.com/documents/?uuid=9b2ea8cc-d015-4d74-8541-0e6a4e0ed0dd"]}],"mendeley":{"formattedCitation":"[11]","plainTextFormattedCitation":"[11]","previouslyFormattedCitation":"[11]"},"properties":{"noteIndex":0},"schema":"https://github.com/citation-style-language/schema/raw/master/csl-citation.json"}</w:instrText>
      </w:r>
      <w:r>
        <w:rPr/>
        <w:fldChar w:fldCharType="separate"/>
      </w:r>
      <w:bookmarkStart w:id="55" w:name="__Fieldmark__815_2337847765"/>
      <w:r>
        <w:rPr/>
        <w:t>[</w:t>
      </w:r>
      <w:bookmarkStart w:id="56" w:name="__Fieldmark__1604_983630037"/>
      <w:r>
        <w:rPr/>
        <w:t>11]</w:t>
      </w:r>
      <w:r>
        <w:rPr/>
      </w:r>
      <w:r>
        <w:rPr/>
        <w:fldChar w:fldCharType="end"/>
      </w:r>
      <w:bookmarkEnd w:id="55"/>
      <w:bookmarkEnd w:id="56"/>
      <w:r>
        <w:rPr/>
        <w:t>. Das bedeutet, dass die Testgenauigkeit sinkt und dadurch die Differenz zwischen Trainings- und Testgenauigkeit signifikant größer wird, was ein Indiz für eine Überanpassung sein kann. Hingegen liegt eine Unteranpassung vor, wenn das Modell unfähig ist, ein Muster in den Trainingsdaten zu erkennen, um daraus einen Trend ableiten zu können. Zu Unteranpassung kommt es, wenn zu wenige Trainingsdaten vorhanden sind, oder die Komplexität der zu erledigenden Aufgabe, die des Modells wesentlich überschreitet. Das Ziel des Trainings ist es, eine Anpassung zu erreichen, die genau zwischen der einer Überanpassung und der einer Unteranpassung liegt.</w:t>
      </w:r>
    </w:p>
    <w:p>
      <w:pPr>
        <w:pStyle w:val="Normal"/>
        <w:rPr/>
      </w:pPr>
      <w:r>
        <w:rPr>
          <w:b/>
          <w:bCs/>
        </w:rPr>
        <w:t xml:space="preserve">Bewertung des Modells: </w:t>
      </w:r>
      <w:r>
        <w:rPr/>
        <w:t xml:space="preserve">Zur Bewertung wird das Modell mit gelabelten Daten des Testdatensatzes getestet, welche bei der </w:t>
      </w:r>
      <w:r>
        <w:rPr/>
        <w:fldChar w:fldCharType="begin"/>
      </w:r>
      <w:r>
        <w:rPr/>
        <w:instrText> REF Datenerfassung \h </w:instrText>
      </w:r>
      <w:r>
        <w:rPr/>
        <w:fldChar w:fldCharType="separate"/>
      </w:r>
      <w:r>
        <w:rPr/>
        <w:t>Datenerfassung</w:t>
      </w:r>
      <w:r>
        <w:rPr/>
        <w:fldChar w:fldCharType="end"/>
      </w:r>
      <w:r>
        <w:rPr/>
        <w:t xml:space="preserve"> von dem gesamten Datensatz abgetrennt wurden. Dies dient der Abschätzung, wie sich das Modell bei einer tatsächlichen Anwendung verhalten könnte. Als Ergebnis erhält man mehrere Maßzahlen, welche die Leistung des Modells beschreiben (siehe </w:t>
      </w:r>
      <w:r>
        <w:rPr/>
        <w:fldChar w:fldCharType="begin"/>
      </w:r>
      <w:r>
        <w:rPr/>
        <w:instrText> REF _Ref66643850 \r \h </w:instrText>
      </w:r>
      <w:r>
        <w:rPr/>
        <w:fldChar w:fldCharType="separate"/>
      </w:r>
      <w:r>
        <w:rPr/>
        <w:t>3.1.4</w:t>
      </w:r>
      <w:r>
        <w:rPr/>
        <w:fldChar w:fldCharType="end"/>
      </w:r>
      <w:r>
        <w:rPr/>
        <w:t xml:space="preserve">). </w:t>
      </w:r>
    </w:p>
    <w:p>
      <w:pPr>
        <w:pStyle w:val="Normal"/>
        <w:rPr/>
      </w:pPr>
      <w:r>
        <w:rPr/>
        <w:t xml:space="preserve">Mit einer Validierung werden die übergeordneten Parameter zur Steuerung des Models </w:t>
      </w:r>
      <w:r>
        <w:rPr>
          <w:i/>
          <w:iCs/>
        </w:rPr>
        <w:t xml:space="preserve">(Hyperparameter) </w:t>
      </w:r>
      <w:r>
        <w:rPr/>
        <w:t xml:space="preserve">überprüft und gegebenenfalls angepasst, sodass das beste Model gefunden werden kann. Zusätzlich kann </w:t>
      </w:r>
      <w:commentRangeStart w:id="8"/>
      <w:r>
        <w:rPr/>
        <w:t>d</w:t>
      </w:r>
      <w:r>
        <w:rPr>
          <w:highlight w:val="yellow"/>
        </w:rPr>
        <w:t>as Ergebnis der Validierung als Indikator zur Bewertung des Modells herangezogen werden.</w:t>
      </w:r>
      <w:r>
        <w:rPr/>
        <w:t xml:space="preserve">  </w:t>
      </w:r>
      <w:r>
        <w:rPr/>
      </w:r>
      <w:commentRangeEnd w:id="8"/>
      <w:r>
        <w:commentReference w:id="8"/>
      </w:r>
      <w:r>
        <w:rPr/>
        <w:t xml:space="preserve">Die Validierung kann mit einem Datensatz durchgeführt werden, welcher wie der Testdatensatz, dem Trainingsdatensatz vorenthalten wurde (Houldout-Methode). Das Aufteilen auf diese Teil-Datensätze bringt oftmals das Problem mit sich, dass der Trainingsdatensatz zu klein wird, was in einer Unteranpassung resultieren würde. Um das zu vermeiden, kann die Validierung auch mit einem wechselnden Teil des Trainingsdatensatzes erfolgen, dies wird als Kreuzvalidierung bezeichnet (siehe </w:t>
      </w:r>
      <w:r>
        <w:rPr/>
        <w:fldChar w:fldCharType="begin"/>
      </w:r>
      <w:r>
        <w:rPr/>
        <w:instrText> REF _Ref66722214 \r \h </w:instrText>
      </w:r>
      <w:r>
        <w:rPr/>
        <w:fldChar w:fldCharType="separate"/>
      </w:r>
      <w:r>
        <w:rPr/>
        <w:t>3.3.1</w:t>
      </w:r>
      <w:r>
        <w:rPr/>
        <w:fldChar w:fldCharType="end"/>
      </w:r>
      <w:r>
        <w:rPr/>
        <w:t xml:space="preserve">). </w:t>
      </w:r>
    </w:p>
    <w:p>
      <w:pPr>
        <w:pStyle w:val="Normal"/>
        <w:jc w:val="left"/>
        <w:rPr/>
      </w:pPr>
      <w:r>
        <w:rPr>
          <w:b/>
          <w:bCs/>
        </w:rPr>
        <w:t xml:space="preserve">Vorhersage: </w:t>
      </w:r>
      <w:r>
        <w:rPr/>
        <w:t xml:space="preserve"> Das Modell wird an unbekannten Daten angewandt.</w:t>
      </w:r>
    </w:p>
    <w:p>
      <w:pPr>
        <w:pStyle w:val="Normal"/>
        <w:rPr/>
      </w:pPr>
      <w:r>
        <w:rPr/>
        <w:t xml:space="preserve">Im Folgenden wird die Funktionsweise der beiden Modelle Kern-Methoden und neuronale Netze näher erläutert. </w:t>
      </w:r>
    </w:p>
    <w:p>
      <w:pPr>
        <w:pStyle w:val="Berschrift4"/>
        <w:rPr/>
      </w:pPr>
      <w:bookmarkStart w:id="57" w:name="_Ref66721820"/>
      <w:r>
        <w:rPr/>
        <w:t>Kern-Methoden</w:t>
      </w:r>
      <w:bookmarkStart w:id="58" w:name="_Hlk65412260"/>
      <w:bookmarkEnd w:id="57"/>
      <w:bookmarkEnd w:id="58"/>
    </w:p>
    <w:p>
      <w:pPr>
        <w:pStyle w:val="Normal"/>
        <w:rPr/>
      </w:pPr>
      <w:r>
        <w:rPr/>
        <w:t>Mithilfe von Kern</w:t>
        <w:noBreakHyphen/>
        <w:t xml:space="preserve">Methoden </w:t>
      </w:r>
      <w:r>
        <w:rPr>
          <w:i/>
          <w:iCs/>
        </w:rPr>
        <w:t>(engl. kernel</w:t>
        <w:noBreakHyphen/>
        <w:t>methods)</w:t>
      </w:r>
      <w:r>
        <w:rPr/>
        <w:t xml:space="preserve"> lassen sich nicht linear klassifizierbare Daten klassifizieren. Für das Verständnis von Kern</w:t>
        <w:noBreakHyphen/>
        <w:t>Methoden ist es sinnvoll erst die lineare Klassifizierung zu betrachten.</w:t>
      </w:r>
    </w:p>
    <w:p>
      <w:pPr>
        <w:pStyle w:val="Normal"/>
        <w:rPr/>
      </w:pPr>
      <w:r>
        <w:rPr/>
        <w:t xml:space="preserve">Bei einer </w:t>
      </w:r>
      <w:bookmarkStart w:id="59" w:name="lineare_Klassifizierung"/>
      <w:r>
        <w:rPr>
          <w:b/>
          <w:bCs/>
        </w:rPr>
        <w:t xml:space="preserve">linearen Klassifizierung </w:t>
      </w:r>
      <w:bookmarkEnd w:id="59"/>
      <w:r>
        <w:rPr/>
        <w:t xml:space="preserve">ist das Ziel eine Hyperebene zu finden, welche die Datenpunkte eines Datensatzes in zwei Klassen einteilt (binäre Klassifizierung). Im zweidimensionalen Vektorraum ist diese Hyperebene eine Gerade (siehe </w:t>
      </w:r>
      <w:r>
        <w:rPr/>
        <w:fldChar w:fldCharType="begin"/>
      </w:r>
      <w:r>
        <w:rPr/>
        <w:instrText> REF _Ref65539220 \h </w:instrText>
      </w:r>
      <w:r>
        <w:rPr/>
        <w:fldChar w:fldCharType="separate"/>
      </w:r>
      <w:r>
        <w:rPr/>
        <w:t>Abbildung 5</w:t>
      </w:r>
      <w:r>
        <w:rPr/>
        <w:fldChar w:fldCharType="end"/>
      </w:r>
      <w:r>
        <w:rPr/>
        <w:t xml:space="preserve">). Allgemein können Hyperebenen mit der Funktion </w:t>
      </w:r>
      <w:r>
        <w:rPr/>
      </w:r>
      <m:oMath xmlns:m="http://schemas.openxmlformats.org/officeDocument/2006/math">
        <m:d>
          <m:dPr>
            <m:begChr m:val="⟨"/>
            <m:endChr m:val="⟩"/>
          </m:dPr>
          <m:e>
            <m:r>
              <w:rPr>
                <w:rFonts w:ascii="Cambria Math" w:hAnsi="Cambria Math"/>
              </w:rPr>
              <m:t xml:space="preserve">w·x</m:t>
            </m:r>
          </m:e>
        </m:d>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0</m:t>
        </m:r>
      </m:oMath>
      <w:r>
        <w:rPr>
          <w:rFonts w:eastAsia="" w:eastAsiaTheme="minorEastAsia"/>
        </w:rPr>
        <w:t xml:space="preserve">beschrieben werden. Später kann anhand des Vorzeichens der Funktion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w·x</m:t>
            </m:r>
          </m:e>
        </m:d>
        <m:r>
          <w:rPr>
            <w:rFonts w:ascii="Cambria Math" w:hAnsi="Cambria Math"/>
          </w:rPr>
          <m:t xml:space="preserve">+</m:t>
        </m:r>
        <m:r>
          <w:rPr>
            <w:rFonts w:ascii="Cambria Math" w:hAnsi="Cambria Math"/>
          </w:rPr>
          <m:t xml:space="preserve">b</m:t>
        </m:r>
      </m:oMath>
      <w:r>
        <w:rPr>
          <w:rFonts w:eastAsia="" w:eastAsiaTheme="minorEastAsia"/>
        </w:rPr>
        <w:t xml:space="preserve">  bei Einsetzung eines zu klassifizierenden Datenpunktes  </w:t>
      </w:r>
      <w:r>
        <w:rPr/>
      </w:r>
      <m:oMath xmlns:m="http://schemas.openxmlformats.org/officeDocument/2006/math">
        <m:r>
          <w:rPr>
            <w:rFonts w:ascii="Cambria Math" w:hAnsi="Cambria Math"/>
          </w:rPr>
          <m:t xml:space="preserve">x</m:t>
        </m:r>
      </m:oMath>
      <w:r>
        <w:rPr>
          <w:rFonts w:eastAsia="" w:eastAsiaTheme="minorEastAsia"/>
        </w:rPr>
        <w:t xml:space="preserve">, die Klasse bestimmt werden. Um die optimale Hyperebene zu finden, muss der Rand (Margin) um die Klassengrenzen möglichst breit werden </w:t>
      </w:r>
      <w:r>
        <w:rPr>
          <w:rFonts w:eastAsia="" w:eastAsiaTheme="minorEastAsia"/>
          <w:i/>
          <w:iCs/>
        </w:rPr>
        <w:t xml:space="preserve">(engl. </w:t>
      </w:r>
      <w:r>
        <w:rPr>
          <w:i/>
          <w:iCs/>
        </w:rPr>
        <w:t>large</w:t>
        <w:noBreakHyphen/>
        <w:t>margin</w:t>
        <w:noBreakHyphen/>
        <w:t>classification)</w:t>
      </w:r>
      <w:r>
        <w:rPr/>
        <w:t xml:space="preserve"> </w:t>
      </w:r>
      <w:r>
        <w:fldChar w:fldCharType="begin"/>
      </w:r>
      <w:r>
        <w:rPr/>
        <w:instrText>ADDIN CSL_CITATION {"citationItems":[{"id":"ITEM-1","itemData":{"URL":"http://www.mathematik.uni-ulm.de/stochastik/lehre/ss07/seminar_sl/fischer.pdf","accessed":{"date-parts":[["2021","2","24"]]},"id":"ITEM-1","issued":{"date-parts":[["0"]]},"title":"Support Vector Machines (SVM); Universität Ulm","type":"webpage"},"uris":["http://www.mendeley.com/documents/?uuid=44f1148d-2261-4217-8fc8-e891a5b173cd"]}],"mendeley":{"formattedCitation":"[12]","plainTextFormattedCitation":"[12]","previouslyFormattedCitation":"[12]"},"properties":{"noteIndex":0},"schema":"https://github.com/citation-style-language/schema/raw/master/csl-citation.json"}</w:instrText>
      </w:r>
      <w:r>
        <w:rPr/>
        <w:fldChar w:fldCharType="separate"/>
      </w:r>
      <w:bookmarkStart w:id="60" w:name="__Fieldmark__884_2337847765"/>
      <w:r>
        <w:rPr/>
        <w:t>[</w:t>
      </w:r>
      <w:bookmarkStart w:id="61" w:name="__Fieldmark__1802_983630037"/>
      <w:r>
        <w:rPr/>
        <w:t>12]</w:t>
      </w:r>
      <w:r>
        <w:rPr/>
      </w:r>
      <w:r>
        <w:rPr/>
        <w:fldChar w:fldCharType="end"/>
      </w:r>
      <w:bookmarkEnd w:id="60"/>
      <w:bookmarkEnd w:id="61"/>
      <w:r>
        <w:rPr/>
        <w:t xml:space="preserve"> , bzw. </w:t>
      </w:r>
      <w:r>
        <w:rPr/>
      </w:r>
      <m:oMath xmlns:m="http://schemas.openxmlformats.org/officeDocument/2006/math">
        <m:f>
          <m:num>
            <m:r>
              <w:rPr>
                <w:rFonts w:ascii="Cambria Math" w:hAnsi="Cambria Math"/>
              </w:rPr>
              <m:t xml:space="preserve">1</m:t>
            </m:r>
          </m:num>
          <m:den>
            <m:d>
              <m:dPr>
                <m:begChr m:val="‖"/>
                <m:endChr m:val="‖"/>
              </m:dPr>
              <m:e>
                <m:r>
                  <w:rPr>
                    <w:rFonts w:ascii="Cambria Math" w:hAnsi="Cambria Math"/>
                  </w:rPr>
                  <m:t xml:space="preserve">w</m:t>
                </m:r>
              </m:e>
            </m:d>
          </m:den>
        </m:f>
      </m:oMath>
      <w:r>
        <w:rPr/>
        <w:t xml:space="preserve">, was dem Margin entspricht, maximiert werden. Mithilfe des Sattelpunktes der Lagrange-Funktion </w:t>
      </w:r>
      <w:r>
        <w:fldChar w:fldCharType="begin"/>
      </w:r>
      <w:r>
        <w:rPr/>
        <w:instrText>ADDIN CSL_CITATION {"citationItems":[{"id":"ITEM-1","itemData":{"URL":"http://www.mathematik.uni-ulm.de/stochastik/lehre/ss07/seminar_sl/ausarbeitung_fischer.pdf","accessed":{"date-parts":[["2021","2","24"]]},"id":"ITEM-1","issued":{"date-parts":[["0"]]},"title":"Support Vector Machines (SVM) Ausarbeitung; Universität Ulm","type":"webpage"},"uris":["http://www.mendeley.com/documents/?uuid=3e47b715-e385-4d10-bcc1-39319f5335ca"]}],"mendeley":{"formattedCitation":"[13]","plainTextFormattedCitation":"[13]","previouslyFormattedCitation":"[13]"},"properties":{"noteIndex":0},"schema":"https://github.com/citation-style-language/schema/raw/master/csl-citation.json"}</w:instrText>
      </w:r>
      <w:r>
        <w:rPr/>
        <w:fldChar w:fldCharType="separate"/>
      </w:r>
      <w:bookmarkStart w:id="62" w:name="__Fieldmark__893_2337847765"/>
      <w:r>
        <w:rPr/>
        <w:t>[</w:t>
      </w:r>
      <w:bookmarkStart w:id="63" w:name="__Fieldmark__1812_983630037"/>
      <w:r>
        <w:rPr/>
        <w:t>13]</w:t>
      </w:r>
      <w:r>
        <w:rPr/>
      </w:r>
      <w:r>
        <w:rPr/>
        <w:fldChar w:fldCharType="end"/>
      </w:r>
      <w:bookmarkEnd w:id="62"/>
      <w:bookmarkEnd w:id="63"/>
      <w:r>
        <w:rPr/>
        <w:t xml:space="preserve"> lassen sich die beiden Stützvektoren definieren, die sich bei einer Margin von </w:t>
      </w:r>
      <w:r>
        <w:rPr/>
      </w:r>
      <m:oMath xmlns:m="http://schemas.openxmlformats.org/officeDocument/2006/math">
        <m:r>
          <w:rPr>
            <w:rFonts w:ascii="Cambria Math" w:hAnsi="Cambria Math"/>
          </w:rPr>
          <m:t xml:space="preserve">±</m:t>
        </m:r>
        <m:r>
          <w:rPr>
            <w:rFonts w:ascii="Cambria Math" w:hAnsi="Cambria Math"/>
          </w:rPr>
          <m:t xml:space="preserve">1</m:t>
        </m:r>
      </m:oMath>
      <w:r>
        <w:rPr>
          <w:rFonts w:eastAsia="" w:eastAsiaTheme="minorEastAsia"/>
        </w:rPr>
        <w:t xml:space="preserve"> befinden und somit die Hyperebene umgeben (</w:t>
      </w:r>
      <w:r>
        <w:rPr/>
        <w:t xml:space="preserve">siehe </w:t>
      </w:r>
      <w:r>
        <w:rPr/>
        <w:fldChar w:fldCharType="begin"/>
      </w:r>
      <w:r>
        <w:rPr/>
        <w:instrText> REF _Ref65539220 \h </w:instrText>
      </w:r>
      <w:r>
        <w:rPr/>
        <w:fldChar w:fldCharType="separate"/>
      </w:r>
      <w:r>
        <w:rPr/>
        <w:t>Abbildung 5</w:t>
      </w:r>
      <w:r>
        <w:rPr/>
        <w:fldChar w:fldCharType="end"/>
      </w:r>
      <w:r>
        <w:rPr/>
        <w:t>)</w:t>
      </w:r>
      <w:r>
        <w:rPr>
          <w:rFonts w:eastAsia="" w:eastAsiaTheme="minorEastAsia"/>
        </w:rPr>
        <w:t xml:space="preserve">.  </w:t>
      </w:r>
    </w:p>
    <w:p>
      <w:pPr>
        <w:pStyle w:val="Normal"/>
        <w:keepNext w:val="true"/>
        <w:jc w:val="left"/>
        <w:rPr/>
      </w:pPr>
      <w:r>
        <w:rPr/>
        <w:drawing>
          <wp:inline distT="0" distB="0" distL="0" distR="0">
            <wp:extent cx="3308350" cy="2581275"/>
            <wp:effectExtent l="0" t="0" r="0" b="0"/>
            <wp:docPr id="7"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descr=""/>
                    <pic:cNvPicPr>
                      <a:picLocks noChangeAspect="1" noChangeArrowheads="1"/>
                    </pic:cNvPicPr>
                  </pic:nvPicPr>
                  <pic:blipFill>
                    <a:blip r:embed="rId10"/>
                    <a:srcRect l="15230" t="11163" r="4503" b="15409"/>
                    <a:stretch>
                      <a:fillRect/>
                    </a:stretch>
                  </pic:blipFill>
                  <pic:spPr bwMode="auto">
                    <a:xfrm>
                      <a:off x="0" y="0"/>
                      <a:ext cx="3308350" cy="2581275"/>
                    </a:xfrm>
                    <a:prstGeom prst="rect">
                      <a:avLst/>
                    </a:prstGeom>
                  </pic:spPr>
                </pic:pic>
              </a:graphicData>
            </a:graphic>
          </wp:inline>
        </w:drawing>
      </w:r>
    </w:p>
    <w:p>
      <w:pPr>
        <w:pStyle w:val="Caption"/>
        <w:rPr>
          <w:sz w:val="22"/>
          <w:szCs w:val="20"/>
        </w:rPr>
      </w:pPr>
      <w:bookmarkStart w:id="64" w:name="_Ref65539220"/>
      <w:r>
        <w:rPr>
          <w:b/>
          <w:bCs/>
        </w:rPr>
        <w:t xml:space="preserve">Abbildung </w:t>
      </w:r>
      <w:r>
        <w:rPr>
          <w:b/>
          <w:bCs/>
        </w:rPr>
        <w:fldChar w:fldCharType="begin"/>
      </w:r>
      <w:r>
        <w:rPr>
          <w:b/>
          <w:bCs/>
        </w:rPr>
        <w:instrText> SEQ Abbildung \* ARABIC </w:instrText>
      </w:r>
      <w:r>
        <w:rPr>
          <w:b/>
          <w:bCs/>
        </w:rPr>
        <w:fldChar w:fldCharType="separate"/>
      </w:r>
      <w:r>
        <w:rPr>
          <w:b/>
          <w:bCs/>
        </w:rPr>
        <w:t>5</w:t>
      </w:r>
      <w:r>
        <w:rPr>
          <w:b/>
          <w:bCs/>
        </w:rPr>
        <w:fldChar w:fldCharType="end"/>
      </w:r>
      <w:bookmarkEnd w:id="64"/>
      <w:r>
        <w:rPr>
          <w:b/>
          <w:bCs/>
        </w:rPr>
        <w:t>:</w:t>
      </w:r>
      <w:r>
        <w:rPr/>
        <w:t xml:space="preserve"> Lineare Klassifizierung eines Datensatzes mit zwei Eigenschaften pro Datenpunkt. Variablen: (</w:t>
      </w:r>
      <w:r>
        <w:rPr>
          <w:rFonts w:eastAsia="" w:eastAsiaTheme="minorEastAsia"/>
        </w:rPr>
        <w:t xml:space="preserve">Bias </w:t>
      </w:r>
      <w:r>
        <w:rPr/>
      </w:r>
      <m:oMath xmlns:m="http://schemas.openxmlformats.org/officeDocument/2006/math">
        <m:r>
          <w:rPr>
            <w:rFonts w:ascii="Cambria Math" w:hAnsi="Cambria Math"/>
          </w:rPr>
          <m:t xml:space="preserve">b</m:t>
        </m:r>
      </m:oMath>
      <w:r>
        <w:rPr>
          <w:rFonts w:eastAsia="" w:eastAsiaTheme="minorEastAsia"/>
        </w:rPr>
        <w:t xml:space="preserve"> und Richtungsvektor der Hyperebene </w:t>
      </w:r>
      <w:r>
        <w:rPr/>
      </w:r>
      <m:oMath xmlns:m="http://schemas.openxmlformats.org/officeDocument/2006/math">
        <m:r>
          <w:rPr>
            <w:rFonts w:ascii="Cambria Math" w:hAnsi="Cambria Math"/>
          </w:rPr>
          <m:t xml:space="preserve">w</m:t>
        </m:r>
      </m:oMath>
      <w:r>
        <w:rPr>
          <w:rFonts w:eastAsia="" w:eastAsiaTheme="minorEastAsia"/>
          <w:sz w:val="22"/>
          <w:szCs w:val="20"/>
        </w:rPr>
        <w:t>)</w:t>
      </w:r>
    </w:p>
    <w:p>
      <w:pPr>
        <w:pStyle w:val="Normal"/>
        <w:rPr/>
      </w:pPr>
      <w:r>
        <w:rPr/>
        <w:t xml:space="preserve">Die </w:t>
      </w:r>
      <w:r>
        <w:rPr>
          <w:i/>
          <w:iCs/>
        </w:rPr>
        <w:t>large</w:t>
        <w:noBreakHyphen/>
        <w:t>margin</w:t>
        <w:noBreakHyphen/>
        <w:t xml:space="preserve">classification </w:t>
      </w:r>
      <w:r>
        <w:rPr/>
        <w:t xml:space="preserve">erreicht ihre Grenzen, wenn bereits wenige Ausreißer im Datensatz vorhanden sind. Der Margin würde sehr klein werden und es würde sich eine große Ungenauigkeit für die Klassifizierung ergeben. Die Einführung der Schlupfvariable </w:t>
      </w:r>
      <w:r>
        <w:rPr/>
      </w:r>
      <m:oMath xmlns:m="http://schemas.openxmlformats.org/officeDocument/2006/math">
        <m:r>
          <w:rPr>
            <w:rFonts w:ascii="Cambria Math" w:hAnsi="Cambria Math"/>
          </w:rPr>
          <m:t xml:space="preserve">ξ</m:t>
        </m:r>
      </m:oMath>
      <w:r>
        <w:rPr>
          <w:rFonts w:eastAsia="" w:eastAsiaTheme="minorEastAsia"/>
        </w:rPr>
        <w:t xml:space="preserve">, welche einerseits Fehleinordnungen erlaubt, diese aber andererseits auch bestraft, stellt eine Möglichkeit dar, diesen potenziellen Fehler zu vermindern. </w:t>
      </w:r>
      <w:r>
        <w:rPr/>
      </w:r>
      <m:oMath xmlns:m="http://schemas.openxmlformats.org/officeDocument/2006/math">
        <m:r>
          <w:rPr>
            <w:rFonts w:ascii="Cambria Math" w:hAnsi="Cambria Math"/>
          </w:rPr>
          <m:t xml:space="preserve">ξ</m:t>
        </m:r>
      </m:oMath>
      <w:r>
        <w:rPr>
          <w:rFonts w:eastAsia="" w:eastAsiaTheme="minorEastAsia"/>
        </w:rPr>
        <w:t xml:space="preserve"> ist Bestandteil der </w:t>
      </w:r>
      <w:r>
        <w:rPr>
          <w:i/>
          <w:iCs/>
        </w:rPr>
        <w:t>soft</w:t>
        <w:noBreakHyphen/>
        <w:t>margin</w:t>
        <w:noBreakHyphen/>
        <w:t xml:space="preserve">classification </w:t>
      </w:r>
      <w:r>
        <w:rPr/>
        <w:t>(engl.), einem flexibleren Konzept der Klassifizierung.</w:t>
      </w:r>
    </w:p>
    <w:p>
      <w:pPr>
        <w:pStyle w:val="Normal"/>
        <w:rPr/>
      </w:pPr>
      <w:r>
        <w:rPr/>
        <w:t xml:space="preserve">Das Modell kann auch in höhere Dimensionen angewandt werden. Die Größe der Dimension des verwendeten Vektorraums wird festgelegt durch die Anzahl der Eigenschaften, die für jeden Datenpunkt gegeben sind (siehe Achsenbeschriftung in </w:t>
      </w:r>
      <w:r>
        <w:rPr/>
        <w:fldChar w:fldCharType="begin"/>
      </w:r>
      <w:r>
        <w:rPr/>
        <w:instrText> REF _Ref65539220 \h </w:instrText>
      </w:r>
      <w:r>
        <w:rPr/>
        <w:fldChar w:fldCharType="separate"/>
      </w:r>
      <w:r>
        <w:rPr/>
        <w:t>Abbildung 5</w:t>
      </w:r>
      <w:r>
        <w:rPr/>
        <w:fldChar w:fldCharType="end"/>
      </w:r>
      <w:r>
        <w:rPr/>
        <w:t xml:space="preserve">). Die Dimension der Hyperebene ist dabei immer um eins geringer als die Dimension des Modells. Im dreidimensionalen Vektorraum hat die Hyperebene so die Gestalt einer Ebene, oder allgemein ausgedrückt: In der </w:t>
      </w:r>
      <w:r>
        <w:rPr/>
      </w:r>
      <m:oMath xmlns:m="http://schemas.openxmlformats.org/officeDocument/2006/math">
        <m:r>
          <w:rPr>
            <w:rFonts w:ascii="Cambria Math" w:hAnsi="Cambria Math"/>
          </w:rPr>
          <m:t xml:space="preserve">n</m:t>
        </m:r>
      </m:oMath>
      <w:r>
        <w:rPr/>
        <w:noBreakHyphen/>
        <w:t xml:space="preserve">ten Dimension hat die Hyperebene genau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Dimensionen.</w:t>
      </w:r>
    </w:p>
    <w:p>
      <w:pPr>
        <w:pStyle w:val="Normal"/>
        <w:rPr/>
      </w:pPr>
      <w:r>
        <w:rPr/>
        <w:t xml:space="preserve">Oftmals sind die Datenpunkte eines Datensatzes nicht linear trennbar (siehe </w:t>
      </w:r>
      <w:r>
        <w:rPr/>
        <w:fldChar w:fldCharType="begin"/>
      </w:r>
      <w:r>
        <w:rPr/>
        <w:instrText> REF _Ref65556725 \h </w:instrText>
      </w:r>
      <w:r>
        <w:rPr/>
        <w:fldChar w:fldCharType="separate"/>
      </w:r>
      <w:r>
        <w:rPr/>
        <w:t>Abbildung 6</w:t>
      </w:r>
      <w:r>
        <w:rPr/>
        <w:fldChar w:fldCharType="end"/>
      </w:r>
      <w:r>
        <w:rPr/>
        <w:t xml:space="preserve">). Bei der </w:t>
      </w:r>
      <w:r>
        <w:rPr>
          <w:b/>
          <w:bCs/>
        </w:rPr>
        <w:t>nichtlinearen Klassifizierung</w:t>
      </w:r>
      <w:r>
        <w:rPr/>
        <w:t xml:space="preserve"> kommt der sogenannte Kernel-Trick zum Einsatz. Der Trick besteht darin, die Daten in einen höher dimensionalen Raum zu transformieren, in dem eine lineare Trennung (siehe </w:t>
      </w:r>
      <w:r>
        <w:rPr/>
        <w:fldChar w:fldCharType="begin"/>
      </w:r>
      <w:r>
        <w:rPr/>
        <w:instrText> REF lineare_Klassifizierung \h </w:instrText>
      </w:r>
      <w:r>
        <w:rPr/>
        <w:fldChar w:fldCharType="separate"/>
      </w:r>
      <w:r>
        <w:rPr/>
        <w:t xml:space="preserve">linearen Klassifizierung </w:t>
      </w:r>
      <w:r>
        <w:rPr/>
        <w:fldChar w:fldCharType="end"/>
      </w:r>
      <w:r>
        <w:rPr/>
        <w:t xml:space="preserve">) möglich ist. Die Problematik ist, dass die Berechnung der genauen Datenpunkte in der höheren Dimension sehr rechenintensiv ist </w:t>
      </w:r>
      <w:r>
        <w:fldChar w:fldCharType="begin"/>
      </w:r>
      <w:r>
        <w:rPr/>
        <w:instrText>ADDIN CSL_CITATION {"citationItems":[{"id":"ITEM-1","itemData":{"URL":"http://www.mathematik.uni-ulm.de/stochastik/lehre/ss07/seminar_sl/fischer.pdf","accessed":{"date-parts":[["2021","2","24"]]},"id":"ITEM-1","issued":{"date-parts":[["0"]]},"title":"Support Vector Machines (SVM); Universität Ulm","type":"webpage"},"uris":["http://www.mendeley.com/documents/?uuid=44f1148d-2261-4217-8fc8-e891a5b173cd"]}],"mendeley":{"formattedCitation":"[12]","plainTextFormattedCitation":"[12]","previouslyFormattedCitation":"[12]"},"properties":{"noteIndex":0},"schema":"https://github.com/citation-style-language/schema/raw/master/csl-citation.json"}</w:instrText>
      </w:r>
      <w:r>
        <w:rPr/>
        <w:fldChar w:fldCharType="separate"/>
      </w:r>
      <w:bookmarkStart w:id="65" w:name="__Fieldmark__956_2337847765"/>
      <w:r>
        <w:rPr/>
        <w:t>[</w:t>
      </w:r>
      <w:bookmarkStart w:id="66" w:name="__Fieldmark__1981_983630037"/>
      <w:r>
        <w:rPr/>
        <w:t>12]</w:t>
      </w:r>
      <w:r>
        <w:rPr/>
      </w:r>
      <w:r>
        <w:rPr/>
        <w:fldChar w:fldCharType="end"/>
      </w:r>
      <w:bookmarkEnd w:id="65"/>
      <w:bookmarkEnd w:id="66"/>
      <w:r>
        <w:rPr/>
        <w:t xml:space="preserve">. Für das Bestimmen der Hyperebene in der höheren Dimension werden diese genauen Datenpunkte gar nicht benötigt, vielmehr genügt es die Skalarprodukte der Datenpunkte zu kennen. Die Kernel-Funktion ist eine Funktion, welche die jeweiligen Skalarprodukte bereits aus den untransformierten Datenpunkten berechnen kann </w:t>
      </w:r>
      <w:r>
        <w:fldChar w:fldCharType="begin"/>
      </w:r>
      <w:r>
        <w:rPr/>
        <w:instrText>ADDIN CSL_CITATION {"citationItems":[{"id":"ITEM-1","itemData":{"URL":"https://towardsdatascience.com/the-kernel-trick-c98cdbcaeb3f","accessed":{"date-parts":[["2021","2","24"]]},"id":"ITEM-1","issued":{"date-parts":[["0"]]},"title":"The Kernel Trick in Support Vector Classification","type":"webpage"},"uris":["http://www.mendeley.com/documents/?uuid=8bcb2e34-11d6-4ee4-af6d-0cad9dea31e6"]}],"mendeley":{"formattedCitation":"[14]","plainTextFormattedCitation":"[14]","previouslyFormattedCitation":"[14]"},"properties":{"noteIndex":0},"schema":"https://github.com/citation-style-language/schema/raw/master/csl-citation.json"}</w:instrText>
      </w:r>
      <w:r>
        <w:rPr/>
        <w:fldChar w:fldCharType="separate"/>
      </w:r>
      <w:bookmarkStart w:id="67" w:name="__Fieldmark__963_2337847765"/>
      <w:r>
        <w:rPr/>
        <w:t>[</w:t>
      </w:r>
      <w:bookmarkStart w:id="68" w:name="__Fieldmark__2006_983630037"/>
      <w:r>
        <w:rPr/>
        <w:t>14]</w:t>
      </w:r>
      <w:r>
        <w:rPr/>
      </w:r>
      <w:r>
        <w:rPr/>
        <w:fldChar w:fldCharType="end"/>
      </w:r>
      <w:bookmarkEnd w:id="67"/>
      <w:bookmarkEnd w:id="68"/>
      <w:r>
        <w:rPr/>
        <w:t xml:space="preserve">. </w:t>
      </w:r>
    </w:p>
    <w:p>
      <w:pPr>
        <w:pStyle w:val="Normal"/>
        <w:rPr/>
      </w:pPr>
      <w:r>
        <w:rPr/>
        <w:t>Es gibt verschiedene Arten von Kernel-Funktionen, wie z.B. lineare Kernel, polynomiale Kernel, Sigmoid Kernel oder die Gaußsche Radiale Basis-Funktion (RBF).</w:t>
      </w:r>
    </w:p>
    <w:p>
      <w:pPr>
        <w:pStyle w:val="Normal"/>
        <w:rPr/>
      </w:pPr>
      <w:r>
        <w:rPr/>
      </w:r>
    </w:p>
    <w:p>
      <w:pPr>
        <w:pStyle w:val="Normal"/>
        <w:rPr/>
      </w:pPr>
      <w:r>
        <w:rPr/>
        <w:drawing>
          <wp:inline distT="0" distB="0" distL="0" distR="0">
            <wp:extent cx="3290570" cy="2577465"/>
            <wp:effectExtent l="0" t="0" r="0" b="0"/>
            <wp:docPr id="8" name="Grafik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
                    <pic:cNvPicPr>
                      <a:picLocks noChangeAspect="1" noChangeArrowheads="1"/>
                    </pic:cNvPicPr>
                  </pic:nvPicPr>
                  <pic:blipFill>
                    <a:blip r:embed="rId11"/>
                    <a:srcRect l="14762" t="11434" r="5461" b="15278"/>
                    <a:stretch>
                      <a:fillRect/>
                    </a:stretch>
                  </pic:blipFill>
                  <pic:spPr bwMode="auto">
                    <a:xfrm>
                      <a:off x="0" y="0"/>
                      <a:ext cx="3290570" cy="2577465"/>
                    </a:xfrm>
                    <a:prstGeom prst="rect">
                      <a:avLst/>
                    </a:prstGeom>
                  </pic:spPr>
                </pic:pic>
              </a:graphicData>
            </a:graphic>
          </wp:inline>
        </w:drawing>
      </w:r>
    </w:p>
    <w:p>
      <w:pPr>
        <w:pStyle w:val="Caption"/>
        <w:rPr/>
      </w:pPr>
      <w:bookmarkStart w:id="69" w:name="_Ref65556725"/>
      <w:r>
        <w:rPr>
          <w:b/>
          <w:bCs/>
        </w:rPr>
        <w:t xml:space="preserve">Abbildung </w:t>
      </w:r>
      <w:r>
        <w:rPr>
          <w:b/>
          <w:bCs/>
        </w:rPr>
        <w:fldChar w:fldCharType="begin"/>
      </w:r>
      <w:r>
        <w:rPr>
          <w:b/>
          <w:bCs/>
        </w:rPr>
        <w:instrText> SEQ Abbildung \* ARABIC </w:instrText>
      </w:r>
      <w:r>
        <w:rPr>
          <w:b/>
          <w:bCs/>
        </w:rPr>
        <w:fldChar w:fldCharType="separate"/>
      </w:r>
      <w:r>
        <w:rPr>
          <w:b/>
          <w:bCs/>
        </w:rPr>
        <w:t>6</w:t>
      </w:r>
      <w:r>
        <w:rPr>
          <w:b/>
          <w:bCs/>
        </w:rPr>
        <w:fldChar w:fldCharType="end"/>
      </w:r>
      <w:bookmarkEnd w:id="69"/>
      <w:r>
        <w:rPr/>
        <w:t>: Nicht linear trennbare Daten eines Datensatzes mit zwei Eigenschaften pro Datenpunkt.</w:t>
      </w:r>
    </w:p>
    <w:p>
      <w:pPr>
        <w:pStyle w:val="Normal"/>
        <w:rPr/>
      </w:pPr>
      <w:r>
        <w:rPr/>
      </w:r>
    </w:p>
    <w:p>
      <w:pPr>
        <w:pStyle w:val="Berschrift4"/>
        <w:rPr/>
      </w:pPr>
      <w:bookmarkStart w:id="70" w:name="_Ref66721837"/>
      <w:r>
        <w:rPr/>
        <w:t>Neuronale Netze</w:t>
      </w:r>
      <w:bookmarkEnd w:id="70"/>
      <w:r>
        <w:rPr/>
        <w:t xml:space="preserve"> </w:t>
      </w:r>
    </w:p>
    <w:p>
      <w:pPr>
        <w:pStyle w:val="Normal"/>
        <w:rPr/>
      </w:pPr>
      <w:r>
        <w:rPr/>
        <w:t>Neuronale Netze, besser</w:t>
      </w:r>
      <w:r>
        <w:rPr>
          <w:i/>
          <w:iCs/>
        </w:rPr>
        <w:t xml:space="preserve"> künstliche neuronale Netze (KNN)</w:t>
      </w:r>
      <w:r>
        <w:rPr/>
        <w:t xml:space="preserve">, bezeichnen eine Art von Modellen des maschinellen Lernens. KNN wurden ihrem Vorbild, dem menschlichen Gehirn, nachempfunden. Die Lernfähigkeit des menschlichen Gehirns resultiert daraus, dass in dem riesigen Netzwerk aus Neuronen und Synapsen, die Synapsen die Effektivität der Signalübertragung zwischen den Neuronen variieren können </w:t>
      </w:r>
      <w:r>
        <w:fldChar w:fldCharType="begin"/>
      </w:r>
      <w:r>
        <w:rPr/>
        <w:instrText>ADDIN CSL_CITATION {"citationItems":[{"id":"ITEM-1","itemData":{"URL":"https://www.mpg.de/gehirn","accessed":{"date-parts":[["2021","2","26"]]},"container-title":"MAX-PLANCK-GESELLSCHAFT","id":"ITEM-1","issued":{"date-parts":[["0"]]},"title":"Das Gehirn","type":"webpage"},"uris":["http://www.mendeley.com/documents/?uuid=1d5d0bcf-df31-40db-8ede-75d5c63e12da"]}],"mendeley":{"formattedCitation":"[15]","plainTextFormattedCitation":"[15]","previouslyFormattedCitation":"[15]"},"properties":{"noteIndex":0},"schema":"https://github.com/citation-style-language/schema/raw/master/csl-citation.json"}</w:instrText>
      </w:r>
      <w:r>
        <w:rPr/>
        <w:fldChar w:fldCharType="separate"/>
      </w:r>
      <w:bookmarkStart w:id="71" w:name="__Fieldmark__986_2337847765"/>
      <w:r>
        <w:rPr/>
        <w:t>[</w:t>
      </w:r>
      <w:bookmarkStart w:id="72" w:name="__Fieldmark__2069_983630037"/>
      <w:r>
        <w:rPr/>
        <w:t>15]</w:t>
      </w:r>
      <w:r>
        <w:rPr/>
      </w:r>
      <w:r>
        <w:rPr/>
        <w:fldChar w:fldCharType="end"/>
      </w:r>
      <w:bookmarkEnd w:id="71"/>
      <w:bookmarkEnd w:id="72"/>
      <w:r>
        <w:rPr/>
        <w:t>. So werden neue synaptische Verbindungen geschaffen und andere getrennt oder vermindert. Ein einzelnes Neuron kann über Dendriten Signale anderer Neuronen empfangen, diese in dem Zellkörper verarbeiten und über die Axone ein resultierendes Signal an andere Neurone weiterleiten. Im Menschen existiert so ein riesiges Netz aus Neuronen und Synapsen.</w:t>
      </w:r>
    </w:p>
    <w:p>
      <w:pPr>
        <w:pStyle w:val="Normal"/>
        <w:rPr/>
      </w:pPr>
      <w:r>
        <w:rPr/>
        <w:t xml:space="preserve">Das einfachste Modell eines künstlichen Neurons wurde bereits 1943 von Warren McCulloch und Walter Pitts beschrieben </w:t>
      </w:r>
      <w:r>
        <w:fldChar w:fldCharType="begin"/>
      </w:r>
      <w:r>
        <w:rPr/>
        <w:instrText>ADDIN CSL_CITATION {"citationItems":[{"id":"ITEM-1","itemData":{"ISBN":"0092-8240","ISSN":"0092-8240","abstract":"Because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discussed,","author":[{"dropping-particle":"","family":"McCulloch","given":"Warren S","non-dropping-particle":"","parse-names":false,"suffix":""},{"dropping-particle":"","family":"Pitts","given":"Walter","non-dropping-particle":"","parse-names":false,"suffix":""}],"container-title":"Bulletin of Mathematical Biology","id":"ITEM-1","issue":"1--2","issued":{"date-parts":[["1990"]]},"page":"99-115","title":"A logical calculus of the ideas immanent in nervous activity (reprinted from bulletin of mathematical biophysics, vol 5, pg 115-133, 1943)","type":"article-journal","volume":"52"},"uris":["http://www.mendeley.com/documents/?uuid=f18f53de-1036-4090-a9b0-2625c7aa994b"]}],"mendeley":{"formattedCitation":"[16]","plainTextFormattedCitation":"[16]","previouslyFormattedCitation":"[16]"},"properties":{"noteIndex":0},"schema":"https://github.com/citation-style-language/schema/raw/master/csl-citation.json"}</w:instrText>
      </w:r>
      <w:r>
        <w:rPr/>
        <w:fldChar w:fldCharType="separate"/>
      </w:r>
      <w:bookmarkStart w:id="73" w:name="__Fieldmark__994_2337847765"/>
      <w:r>
        <w:rPr/>
        <w:t>[</w:t>
      </w:r>
      <w:bookmarkStart w:id="74" w:name="__Fieldmark__2092_983630037"/>
      <w:r>
        <w:rPr/>
        <w:t>16]</w:t>
      </w:r>
      <w:r>
        <w:rPr/>
      </w:r>
      <w:r>
        <w:rPr/>
        <w:fldChar w:fldCharType="end"/>
      </w:r>
      <w:bookmarkEnd w:id="73"/>
      <w:bookmarkEnd w:id="74"/>
      <w:r>
        <w:rPr/>
        <w:t xml:space="preserve">. Ihr Neuronenmodell folgt dem Alles-oder-nichts-Prinzip: Nur, wenn die Summe der Eingaben in das Neuron einen festen reellen Schwellenwert überschreitet, feuert das Neuron, d.h. es wird eine 1 weitergegeben. Bleibt der Schwellenwert unterschritten, wird eine 0 ausgegeben. </w:t>
      </w:r>
      <w:commentRangeStart w:id="9"/>
      <w:r>
        <w:rPr/>
        <w:t>Die Eingabe und Ausgabe sind stets binär</w:t>
      </w:r>
      <w:r>
        <w:rPr/>
      </w:r>
      <w:commentRangeEnd w:id="9"/>
      <w:r>
        <w:commentReference w:id="9"/>
      </w:r>
      <w:r>
        <w:rPr/>
        <w:t>. Mit Hilfe eines kleinen Netzes dieser Neuronen lassen sich so bereits einfache logische Verknüpfungen wie UND oder ODER darstellen.</w:t>
      </w:r>
    </w:p>
    <w:p>
      <w:pPr>
        <w:pStyle w:val="Normal"/>
        <w:rPr/>
      </w:pPr>
      <w:r>
        <w:rPr/>
        <w:t xml:space="preserve">1958 veröffentlichte Frank Rosenblatt das Modell des Perzeptrons </w:t>
      </w:r>
      <w:r>
        <w:fldChar w:fldCharType="begin"/>
      </w:r>
      <w:r>
        <w:rPr/>
        <w:instrText>ADDIN CSL_CITATION {"citationItems":[{"id":"ITEM-1","itemData":{"DOI":"10.1037/h0042519","ISSN":"0033295X","PMID":"13602029","abstract":"To answer the questions of how information about the physical world is sensed, in what form is information remembered, and how does information retained in memory influence recognition and behavior, a theory is developed for a hypothetical nervous system called a perceptron. The theory serves as a bridge between biophysics and psychology. It is possible to predict learning curves from neurological variables and vice versa. The quantitative statistical approach is fruitful in the understanding of the organization of cognitive systems. 18 references. (PsycINFO Database Record (c) 2006 APA, all rights reserved). © 1958 American Psychological Association.","author":[{"dropping-particle":"","family":"Rosenblatt","given":"F.","non-dropping-particle":"","parse-names":false,"suffix":""}],"container-title":"Psychological Review","id":"ITEM-1","issue":"6","issued":{"date-parts":[["1958"]]},"page":"386-408","title":"The perceptron: A probabilistic model for information storage and organization in the brain","type":"article-journal","volume":"65"},"uris":["http://www.mendeley.com/documents/?uuid=2c34fbea-189e-4a16-9d0d-12777e938420"]}],"mendeley":{"formattedCitation":"[17]","plainTextFormattedCitation":"[17]","previouslyFormattedCitation":"[17]"},"properties":{"noteIndex":0},"schema":"https://github.com/citation-style-language/schema/raw/master/csl-citation.json"}</w:instrText>
      </w:r>
      <w:r>
        <w:rPr/>
        <w:fldChar w:fldCharType="separate"/>
      </w:r>
      <w:bookmarkStart w:id="75" w:name="__Fieldmark__1009_2337847765"/>
      <w:r>
        <w:rPr/>
        <w:t>[</w:t>
      </w:r>
      <w:bookmarkStart w:id="76" w:name="__Fieldmark__2127_983630037"/>
      <w:r>
        <w:rPr/>
        <w:t>17]</w:t>
      </w:r>
      <w:r>
        <w:rPr/>
      </w:r>
      <w:r>
        <w:rPr/>
        <w:fldChar w:fldCharType="end"/>
      </w:r>
      <w:bookmarkEnd w:id="75"/>
      <w:bookmarkEnd w:id="76"/>
      <w:r>
        <w:rPr/>
        <w:t xml:space="preserve">. Es beschreibt ein künstliches Neuron, bei dem nicht nur binäre Ein- und Ausgabewerte vorkommen. Außerdem kommt es zu einer Gewichtung der Eingabewerte, wodurch </w:t>
      </w:r>
      <w:r>
        <w:rPr>
          <w:rFonts w:eastAsia="" w:eastAsiaTheme="minorEastAsia"/>
        </w:rPr>
        <w:t xml:space="preserve">jeweils die Stärke des Einflusses der einzelnen Eingangssignale festgelegt ist. Ein einzelnes Neuron dieses Modells </w:t>
      </w:r>
      <w:r>
        <w:rPr>
          <w:i/>
          <w:iCs/>
        </w:rPr>
        <w:t>(</w:t>
      </w:r>
      <w:bookmarkStart w:id="77" w:name="einlagigesPerzeptron"/>
      <w:r>
        <w:rPr>
          <w:i/>
          <w:iCs/>
        </w:rPr>
        <w:t>einlagiges Perzeptron</w:t>
      </w:r>
      <w:bookmarkEnd w:id="77"/>
      <w:r>
        <w:rPr>
          <w:i/>
          <w:iCs/>
        </w:rPr>
        <w:t>)</w:t>
      </w:r>
      <w:r>
        <w:rPr/>
        <w:t xml:space="preserve"> stellt bereits ein linearer Klassifikator dar. Es ist in </w:t>
      </w:r>
      <w:r>
        <w:rPr/>
        <w:fldChar w:fldCharType="begin"/>
      </w:r>
      <w:r>
        <w:rPr/>
        <w:instrText> REF _Ref65633987 \h </w:instrText>
      </w:r>
      <w:r>
        <w:rPr/>
        <w:fldChar w:fldCharType="separate"/>
      </w:r>
      <w:r>
        <w:rPr/>
        <w:t>Abbildung 7</w:t>
      </w:r>
      <w:r>
        <w:rPr/>
        <w:fldChar w:fldCharType="end"/>
      </w:r>
      <w:r>
        <w:rPr/>
        <w:t xml:space="preserve"> dargestellt.</w:t>
      </w:r>
    </w:p>
    <w:p>
      <w:pPr>
        <w:pStyle w:val="Abbildung"/>
        <w:rPr/>
      </w:pPr>
      <w:r>
        <w:rPr/>
        <w:drawing>
          <wp:inline distT="0" distB="0" distL="0" distR="0">
            <wp:extent cx="4592320" cy="2406650"/>
            <wp:effectExtent l="0" t="0" r="0" b="0"/>
            <wp:docPr id="9"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2" descr=""/>
                    <pic:cNvPicPr>
                      <a:picLocks noChangeAspect="1" noChangeArrowheads="1"/>
                    </pic:cNvPicPr>
                  </pic:nvPicPr>
                  <pic:blipFill>
                    <a:blip r:embed="rId12"/>
                    <a:srcRect l="2681" t="4761" r="17170" b="20574"/>
                    <a:stretch>
                      <a:fillRect/>
                    </a:stretch>
                  </pic:blipFill>
                  <pic:spPr bwMode="auto">
                    <a:xfrm>
                      <a:off x="0" y="0"/>
                      <a:ext cx="4592320" cy="2406650"/>
                    </a:xfrm>
                    <a:prstGeom prst="rect">
                      <a:avLst/>
                    </a:prstGeom>
                  </pic:spPr>
                </pic:pic>
              </a:graphicData>
            </a:graphic>
          </wp:inline>
        </w:drawing>
      </w:r>
    </w:p>
    <w:p>
      <w:pPr>
        <w:pStyle w:val="Caption"/>
        <w:rPr/>
      </w:pPr>
      <w:bookmarkStart w:id="78" w:name="_Ref65633987"/>
      <w:r>
        <w:rPr>
          <w:b/>
          <w:bCs/>
        </w:rPr>
        <w:t xml:space="preserve">Abbildung </w:t>
      </w:r>
      <w:r>
        <w:rPr>
          <w:b/>
          <w:bCs/>
        </w:rPr>
        <w:fldChar w:fldCharType="begin"/>
      </w:r>
      <w:r>
        <w:rPr>
          <w:b/>
          <w:bCs/>
        </w:rPr>
        <w:instrText> SEQ Abbildung \* ARABIC </w:instrText>
      </w:r>
      <w:r>
        <w:rPr>
          <w:b/>
          <w:bCs/>
        </w:rPr>
        <w:fldChar w:fldCharType="separate"/>
      </w:r>
      <w:r>
        <w:rPr>
          <w:b/>
          <w:bCs/>
        </w:rPr>
        <w:t>7</w:t>
      </w:r>
      <w:r>
        <w:rPr>
          <w:b/>
          <w:bCs/>
        </w:rPr>
        <w:fldChar w:fldCharType="end"/>
      </w:r>
      <w:bookmarkEnd w:id="78"/>
      <w:r>
        <w:rPr>
          <w:b/>
          <w:bCs/>
        </w:rPr>
        <w:t>:</w:t>
      </w:r>
      <w:r>
        <w:rPr/>
        <w:t xml:space="preserve"> Einlagiges Perzeptron. </w:t>
      </w:r>
    </w:p>
    <w:p>
      <w:pPr>
        <w:pStyle w:val="Normal"/>
        <w:rPr/>
      </w:pPr>
      <w:r>
        <w:rPr/>
      </w:r>
    </w:p>
    <w:p>
      <w:pPr>
        <w:pStyle w:val="Normal"/>
        <w:rPr>
          <w:rFonts w:eastAsia="" w:eastAsiaTheme="minorEastAsia"/>
        </w:rPr>
      </w:pPr>
      <w:r>
        <w:rPr>
          <w:rFonts w:eastAsia="" w:eastAsiaTheme="minorEastAsia"/>
        </w:rPr>
        <w:t xml:space="preserve">Jedem Eingangssignal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R</m:t>
        </m:r>
      </m:oMath>
      <w:r>
        <w:rPr>
          <w:rFonts w:eastAsia="" w:eastAsiaTheme="minorEastAsia"/>
        </w:rPr>
        <w:t xml:space="preserve"> des Perzeptrons wird ein Gewicht </w:t>
      </w:r>
      <w:r>
        <w:rPr/>
      </w:r>
      <m:oMath xmlns:m="http://schemas.openxmlformats.org/officeDocument/2006/math">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R</m:t>
        </m:r>
      </m:oMath>
      <w:r>
        <w:rPr>
          <w:rFonts w:eastAsia="" w:eastAsiaTheme="minorEastAsia"/>
        </w:rPr>
        <w:t xml:space="preserve"> mit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oMath>
      <w:r>
        <w:rPr>
          <w:rFonts w:eastAsia="" w:eastAsiaTheme="minorEastAsia"/>
        </w:rPr>
        <w:t xml:space="preserve"> zugeordnet. In der Eingangsfunktion </w:t>
      </w:r>
      <w:r>
        <w:rPr/>
      </w:r>
      <m:oMath xmlns:m="http://schemas.openxmlformats.org/officeDocument/2006/math">
        <m:r>
          <w:rPr>
            <w:rFonts w:ascii="Cambria Math" w:hAnsi="Cambria Math"/>
          </w:rPr>
          <m:t xml:space="preserve">σ</m:t>
        </m:r>
      </m:oMath>
      <w:r>
        <w:rPr>
          <w:rFonts w:eastAsia="" w:eastAsiaTheme="minorEastAsia"/>
        </w:rPr>
        <w:t xml:space="preserve"> wird die gewichtete Summe über die gesamte Eingabe gebildet. Zusätzlich wird auf diese Summe der </w:t>
      </w:r>
      <w:bookmarkStart w:id="79" w:name="bias"/>
      <w:r>
        <w:rPr>
          <w:rFonts w:eastAsia="" w:eastAsiaTheme="minorEastAsia"/>
        </w:rPr>
        <w:t xml:space="preserve">Bias </w:t>
      </w:r>
      <w:bookmarkEnd w:id="79"/>
      <w:r>
        <w:rPr/>
      </w:r>
      <m:oMath xmlns:m="http://schemas.openxmlformats.org/officeDocument/2006/math">
        <m:r>
          <w:rPr>
            <w:rFonts w:ascii="Cambria Math" w:hAnsi="Cambria Math"/>
          </w:rPr>
          <m:t xml:space="preserve">b</m:t>
        </m:r>
      </m:oMath>
      <w:r>
        <w:rPr>
          <w:rFonts w:eastAsia="" w:eastAsiaTheme="minorEastAsia"/>
        </w:rPr>
        <w:t xml:space="preserve"> addiert. Der Bias gibt den Grenzwert an, ab dem das Perzeptron feuern soll.</w:t>
      </w:r>
    </w:p>
    <w:tbl>
      <w:tblPr>
        <w:tblStyle w:val="Tabellenraster"/>
        <w:tblW w:w="9015" w:type="dxa"/>
        <w:jc w:val="left"/>
        <w:tblInd w:w="0" w:type="dxa"/>
        <w:tblCellMar>
          <w:top w:w="0" w:type="dxa"/>
          <w:left w:w="118" w:type="dxa"/>
          <w:bottom w:w="0" w:type="dxa"/>
          <w:right w:w="108" w:type="dxa"/>
        </w:tblCellMar>
        <w:tblLook w:lastRow="0" w:firstRow="1" w:lastColumn="0" w:firstColumn="1" w:val="04a0" w:noHBand="0" w:noVBand="1"/>
      </w:tblPr>
      <w:tblGrid>
        <w:gridCol w:w="1245"/>
        <w:gridCol w:w="6522"/>
        <w:gridCol w:w="1248"/>
      </w:tblGrid>
      <w:tr>
        <w:trPr/>
        <w:tc>
          <w:tcPr>
            <w:tcW w:w="1245"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Fonts w:eastAsia="" w:eastAsiaTheme="minorEastAsia"/>
              </w:rPr>
            </w:r>
          </w:p>
        </w:tc>
        <w:tc>
          <w:tcPr>
            <w:tcW w:w="6522"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
            <m:oMath xmlns:m="http://schemas.openxmlformats.org/officeDocument/2006/math">
              <m:r>
                <w:rPr>
                  <w:rFonts w:ascii="Cambria Math" w:hAnsi="Cambria Math"/>
                </w:rPr>
                <m:t xml:space="preserve">σ</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i</m:t>
                      </m:r>
                    </m:sub>
                  </m:sSub>
                </m:e>
              </m:nary>
              <m:r>
                <w:rPr>
                  <w:rFonts w:ascii="Cambria Math" w:hAnsi="Cambria Math"/>
                </w:rPr>
                <m:t xml:space="preserve">·</m:t>
              </m:r>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b</m:t>
              </m:r>
            </m:oMath>
          </w:p>
        </w:tc>
        <w:tc>
          <w:tcPr>
            <w:tcW w:w="1248" w:type="dxa"/>
            <w:tcBorders>
              <w:top w:val="nil"/>
              <w:left w:val="nil"/>
              <w:bottom w:val="nil"/>
              <w:right w:val="nil"/>
              <w:insideH w:val="nil"/>
              <w:insideV w:val="nil"/>
            </w:tcBorders>
            <w:shd w:fill="auto" w:val="clear"/>
            <w:vAlign w:val="center"/>
          </w:tcPr>
          <w:p>
            <w:pPr>
              <w:pStyle w:val="Normal"/>
              <w:spacing w:lineRule="auto" w:line="240" w:before="0" w:after="0"/>
              <w:rPr>
                <w:rFonts w:eastAsia="" w:eastAsiaTheme="minorEastAsia"/>
              </w:rPr>
            </w:pPr>
            <w:bookmarkStart w:id="80" w:name="_Ref65720980"/>
            <w:r>
              <w:rPr/>
              <w:t>(</w:t>
            </w:r>
            <w:r>
              <w:fldChar w:fldCharType="begin"/>
            </w:r>
            <w:r>
              <w:rPr/>
              <w:instrText>STYLEREF 1 \s</w:instrText>
            </w:r>
            <w:r>
              <w:rPr/>
              <w:fldChar w:fldCharType="separate"/>
            </w:r>
            <w:bookmarkStart w:id="81" w:name="__Fieldmark__1052_2337847765"/>
            <w:r>
              <w:rPr/>
              <w:t>1</w:t>
            </w:r>
            <w:bookmarkStart w:id="82" w:name="__Fieldmark__2197_983630037"/>
            <w:r>
              <w:rPr/>
            </w:r>
            <w:r>
              <w:rPr/>
              <w:fldChar w:fldCharType="end"/>
            </w:r>
            <w:bookmarkEnd w:id="81"/>
            <w:bookmarkEnd w:id="82"/>
            <w:r>
              <w:rPr/>
              <w:t>.</w:t>
            </w:r>
            <w:r>
              <w:rPr/>
              <w:fldChar w:fldCharType="begin"/>
            </w:r>
            <w:r>
              <w:rPr/>
              <w:instrText> SEQ Formel \* ARABIC </w:instrText>
            </w:r>
            <w:r>
              <w:rPr/>
              <w:fldChar w:fldCharType="separate"/>
            </w:r>
            <w:r>
              <w:rPr/>
              <w:t>1</w:t>
            </w:r>
            <w:r>
              <w:rPr/>
              <w:fldChar w:fldCharType="end"/>
            </w:r>
            <w:r>
              <w:rPr/>
              <w:t>)</w:t>
            </w:r>
            <w:bookmarkEnd w:id="80"/>
          </w:p>
        </w:tc>
      </w:tr>
    </w:tbl>
    <w:p>
      <w:pPr>
        <w:pStyle w:val="Normal"/>
        <w:rPr>
          <w:rFonts w:eastAsia="" w:eastAsiaTheme="minorEastAsia"/>
        </w:rPr>
      </w:pPr>
      <w:r>
        <w:rPr>
          <w:rFonts w:eastAsia="" w:eastAsiaTheme="minorEastAsia"/>
        </w:rPr>
      </w:r>
    </w:p>
    <w:p>
      <w:pPr>
        <w:pStyle w:val="Normal"/>
        <w:rPr>
          <w:rFonts w:eastAsia="" w:eastAsiaTheme="minorEastAsia"/>
        </w:rPr>
      </w:pPr>
      <w:r>
        <w:rPr>
          <w:rFonts w:eastAsia="" w:eastAsiaTheme="minorEastAsia"/>
        </w:rPr>
        <w:t xml:space="preserve">Mithilfe einer Aktivierungsfunktion </w:t>
      </w:r>
      <w:r>
        <w:rPr/>
      </w:r>
      <m:oMath xmlns:m="http://schemas.openxmlformats.org/officeDocument/2006/math">
        <m:r>
          <w:rPr>
            <w:rFonts w:ascii="Cambria Math" w:hAnsi="Cambria Math"/>
          </w:rPr>
          <m:t xml:space="preserve">φ</m:t>
        </m:r>
      </m:oMath>
      <w:r>
        <w:rPr>
          <w:rFonts w:eastAsia="" w:eastAsiaTheme="minorEastAsia"/>
          <w:iCs/>
        </w:rPr>
        <w:t xml:space="preserve"> wird die Ausgabe </w:t>
      </w:r>
      <w:r>
        <w:rPr/>
      </w:r>
      <m:oMath xmlns:m="http://schemas.openxmlformats.org/officeDocument/2006/math">
        <m:r>
          <w:rPr>
            <w:rFonts w:ascii="Cambria Math" w:hAnsi="Cambria Math"/>
          </w:rPr>
          <m:t xml:space="preserve">o</m:t>
        </m:r>
        <m:r>
          <w:rPr>
            <w:rFonts w:ascii="Cambria Math" w:hAnsi="Cambria Math"/>
          </w:rPr>
          <m:t xml:space="preserve">∈</m:t>
        </m:r>
        <m:r>
          <w:rPr>
            <w:rFonts w:ascii="Cambria Math" w:hAnsi="Cambria Math"/>
          </w:rPr>
          <m:t xml:space="preserve">R</m:t>
        </m:r>
      </m:oMath>
      <w:r>
        <w:rPr>
          <w:rFonts w:eastAsia="" w:eastAsiaTheme="minorEastAsia"/>
        </w:rPr>
        <w:t xml:space="preserve"> des Perzeptrons bestimmt:</w:t>
      </w:r>
    </w:p>
    <w:tbl>
      <w:tblPr>
        <w:tblStyle w:val="Tabellenraster"/>
        <w:tblW w:w="9015" w:type="dxa"/>
        <w:jc w:val="left"/>
        <w:tblInd w:w="0" w:type="dxa"/>
        <w:tblCellMar>
          <w:top w:w="0" w:type="dxa"/>
          <w:left w:w="118" w:type="dxa"/>
          <w:bottom w:w="0" w:type="dxa"/>
          <w:right w:w="108" w:type="dxa"/>
        </w:tblCellMar>
        <w:tblLook w:noVBand="1" w:val="04a0" w:noHBand="0" w:lastColumn="0" w:firstColumn="1" w:lastRow="0" w:firstRow="1"/>
      </w:tblPr>
      <w:tblGrid>
        <w:gridCol w:w="1245"/>
        <w:gridCol w:w="6522"/>
        <w:gridCol w:w="1248"/>
      </w:tblGrid>
      <w:tr>
        <w:trPr/>
        <w:tc>
          <w:tcPr>
            <w:tcW w:w="1245"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Fonts w:eastAsia="" w:eastAsiaTheme="minorEastAsia"/>
              </w:rPr>
            </w:r>
          </w:p>
        </w:tc>
        <w:tc>
          <w:tcPr>
            <w:tcW w:w="6522" w:type="dxa"/>
            <w:tcBorders>
              <w:top w:val="nil"/>
              <w:left w:val="nil"/>
              <w:bottom w:val="nil"/>
              <w:right w:val="nil"/>
              <w:insideH w:val="nil"/>
              <w:insideV w:val="nil"/>
            </w:tcBorders>
            <w:shd w:fill="auto" w:val="clear"/>
            <w:vAlign w:val="center"/>
          </w:tcPr>
          <w:p>
            <w:pPr>
              <w:pStyle w:val="Normal"/>
              <w:spacing w:lineRule="auto" w:line="240" w:before="0" w:after="0"/>
              <w:rPr>
                <w:rFonts w:eastAsia="" w:eastAsiaTheme="minorEastAsia"/>
              </w:rPr>
            </w:pPr>
            <w:r>
              <w:rPr/>
            </w:r>
            <m:oMath xmlns:m="http://schemas.openxmlformats.org/officeDocument/2006/math">
              <m:r>
                <w:rPr>
                  <w:rFonts w:ascii="Cambria Math" w:hAnsi="Cambria Math"/>
                </w:rPr>
                <m:t xml:space="preserve">o</m:t>
              </m:r>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σ</m:t>
                  </m:r>
                </m:e>
              </m:d>
            </m:oMath>
          </w:p>
        </w:tc>
        <w:tc>
          <w:tcPr>
            <w:tcW w:w="1248" w:type="dxa"/>
            <w:tcBorders>
              <w:top w:val="nil"/>
              <w:left w:val="nil"/>
              <w:bottom w:val="nil"/>
              <w:right w:val="nil"/>
              <w:insideH w:val="nil"/>
              <w:insideV w:val="nil"/>
            </w:tcBorders>
            <w:shd w:fill="auto" w:val="clear"/>
            <w:vAlign w:val="center"/>
          </w:tcPr>
          <w:p>
            <w:pPr>
              <w:pStyle w:val="Normal"/>
              <w:spacing w:lineRule="auto" w:line="240" w:before="0" w:after="0"/>
              <w:rPr>
                <w:rFonts w:eastAsia="" w:eastAsiaTheme="minorEastAsia"/>
              </w:rPr>
            </w:pPr>
            <w:bookmarkStart w:id="83" w:name="_Ref65721234"/>
            <w:r>
              <w:rPr/>
              <w:t>(</w:t>
            </w:r>
            <w:r>
              <w:fldChar w:fldCharType="begin"/>
            </w:r>
            <w:r>
              <w:rPr/>
              <w:instrText>STYLEREF 1 \s</w:instrText>
            </w:r>
            <w:r>
              <w:rPr/>
              <w:fldChar w:fldCharType="separate"/>
            </w:r>
            <w:bookmarkStart w:id="84" w:name="__Fieldmark__1077_2337847765"/>
            <w:r>
              <w:rPr/>
              <w:t>1</w:t>
            </w:r>
            <w:bookmarkStart w:id="85" w:name="__Fieldmark__2223_983630037"/>
            <w:r>
              <w:rPr/>
            </w:r>
            <w:r>
              <w:rPr/>
              <w:fldChar w:fldCharType="end"/>
            </w:r>
            <w:bookmarkEnd w:id="84"/>
            <w:bookmarkEnd w:id="85"/>
            <w:r>
              <w:rPr/>
              <w:t>.</w:t>
            </w:r>
            <w:r>
              <w:rPr/>
              <w:fldChar w:fldCharType="begin"/>
            </w:r>
            <w:r>
              <w:rPr/>
              <w:instrText> SEQ Formel \* ARABIC </w:instrText>
            </w:r>
            <w:r>
              <w:rPr/>
              <w:fldChar w:fldCharType="separate"/>
            </w:r>
            <w:r>
              <w:rPr/>
              <w:t>2</w:t>
            </w:r>
            <w:r>
              <w:rPr/>
              <w:fldChar w:fldCharType="end"/>
            </w:r>
            <w:r>
              <w:rPr>
                <w:rFonts w:eastAsia="" w:eastAsiaTheme="minorEastAsia"/>
              </w:rPr>
              <w:t>)</w:t>
            </w:r>
            <w:bookmarkEnd w:id="83"/>
          </w:p>
        </w:tc>
      </w:tr>
    </w:tbl>
    <w:p>
      <w:pPr>
        <w:pStyle w:val="Normal"/>
        <w:rPr>
          <w:rFonts w:eastAsia="" w:eastAsiaTheme="minorEastAsia"/>
        </w:rPr>
      </w:pPr>
      <w:r>
        <w:rPr>
          <w:rFonts w:eastAsia="" w:eastAsiaTheme="minorEastAsia"/>
        </w:rPr>
      </w:r>
    </w:p>
    <w:p>
      <w:pPr>
        <w:pStyle w:val="Normal"/>
        <w:rPr/>
      </w:pPr>
      <w:r>
        <w:rPr>
          <w:rFonts w:eastAsia="" w:eastAsiaTheme="minorEastAsia"/>
        </w:rPr>
        <w:t xml:space="preserve">Als Aktivierungsfunktion können verschiedene Funktionen Verwendung finden. Die </w:t>
      </w:r>
      <w:r>
        <w:rPr/>
        <w:t xml:space="preserve">Sigmoidfunktion </w:t>
      </w:r>
      <w:r>
        <w:rPr/>
      </w:r>
      <m:oMath xmlns:m="http://schemas.openxmlformats.org/officeDocument/2006/math">
        <m:sSub>
          <m:e>
            <m:r>
              <w:rPr>
                <w:rFonts w:ascii="Cambria Math" w:hAnsi="Cambria Math"/>
              </w:rPr>
              <m:t xml:space="preserve">f</m:t>
            </m:r>
          </m:e>
          <m:sub>
            <m:r>
              <w:rPr>
                <w:rFonts w:ascii="Cambria Math" w:hAnsi="Cambria Math"/>
              </w:rPr>
              <m:t xml:space="preserve">σ</m:t>
            </m:r>
          </m:sub>
        </m:sSub>
      </m:oMath>
      <w:r>
        <w:rPr>
          <w:rFonts w:eastAsia="" w:eastAsiaTheme="minorEastAsia"/>
        </w:rPr>
        <w:t xml:space="preserve"> findet häufig in modernen KNN Anwendung</w:t>
      </w:r>
      <w:r>
        <w:rPr/>
        <w:t xml:space="preserve">. </w:t>
      </w:r>
    </w:p>
    <w:p>
      <w:pPr>
        <w:pStyle w:val="Caption"/>
        <w:keepNext w:val="true"/>
        <w:rPr/>
      </w:pPr>
      <w:r>
        <w:rPr/>
      </w:r>
    </w:p>
    <w:tbl>
      <w:tblPr>
        <w:tblStyle w:val="Tabellenraster"/>
        <w:tblW w:w="9015" w:type="dxa"/>
        <w:jc w:val="left"/>
        <w:tblInd w:w="0" w:type="dxa"/>
        <w:tblCellMar>
          <w:top w:w="0" w:type="dxa"/>
          <w:left w:w="118" w:type="dxa"/>
          <w:bottom w:w="0" w:type="dxa"/>
          <w:right w:w="108" w:type="dxa"/>
        </w:tblCellMar>
        <w:tblLook w:noVBand="1" w:val="04a0" w:noHBand="0" w:lastColumn="0" w:firstColumn="1" w:lastRow="0" w:firstRow="1"/>
      </w:tblPr>
      <w:tblGrid>
        <w:gridCol w:w="1245"/>
        <w:gridCol w:w="6522"/>
        <w:gridCol w:w="1248"/>
      </w:tblGrid>
      <w:tr>
        <w:trPr/>
        <w:tc>
          <w:tcPr>
            <w:tcW w:w="1245"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Fonts w:eastAsia="" w:eastAsiaTheme="minorEastAsia"/>
              </w:rPr>
            </w:r>
          </w:p>
        </w:tc>
        <w:tc>
          <w:tcPr>
            <w:tcW w:w="6522" w:type="dxa"/>
            <w:tcBorders>
              <w:top w:val="nil"/>
              <w:left w:val="nil"/>
              <w:bottom w:val="nil"/>
              <w:right w:val="nil"/>
              <w:insideH w:val="nil"/>
              <w:insideV w:val="nil"/>
            </w:tcBorders>
            <w:shd w:fill="auto" w:val="clear"/>
            <w:vAlign w:val="center"/>
          </w:tcPr>
          <w:p>
            <w:pPr>
              <w:pStyle w:val="Normal"/>
              <w:spacing w:lineRule="auto" w:line="240" w:before="0" w:after="0"/>
              <w:rPr>
                <w:rFonts w:eastAsia="" w:eastAsiaTheme="minorEastAsia"/>
              </w:rPr>
            </w:pPr>
            <w:r>
              <w:rPr/>
            </w:r>
            <m:oMath xmlns:m="http://schemas.openxmlformats.org/officeDocument/2006/math">
              <m:sSub>
                <m:e>
                  <m:r>
                    <w:rPr>
                      <w:rFonts w:ascii="Cambria Math" w:hAnsi="Cambria Math"/>
                    </w:rPr>
                    <m:t xml:space="preserve">f</m:t>
                  </m:r>
                </m:e>
                <m:sub>
                  <m:r>
                    <w:rPr>
                      <w:rFonts w:ascii="Cambria Math" w:hAnsi="Cambria Math"/>
                    </w:rPr>
                    <m:t xml:space="preserve">σ</m:t>
                  </m:r>
                </m:sub>
              </m:sSub>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x</m:t>
                      </m:r>
                    </m:sup>
                  </m:sSup>
                </m:den>
              </m:f>
            </m:oMath>
          </w:p>
        </w:tc>
        <w:tc>
          <w:tcPr>
            <w:tcW w:w="1248" w:type="dxa"/>
            <w:tcBorders>
              <w:top w:val="nil"/>
              <w:left w:val="nil"/>
              <w:bottom w:val="nil"/>
              <w:right w:val="nil"/>
              <w:insideH w:val="nil"/>
              <w:insideV w:val="nil"/>
            </w:tcBorders>
            <w:shd w:fill="auto" w:val="clear"/>
            <w:vAlign w:val="center"/>
          </w:tcPr>
          <w:p>
            <w:pPr>
              <w:pStyle w:val="Normal"/>
              <w:spacing w:lineRule="auto" w:line="240" w:before="0" w:after="0"/>
              <w:rPr>
                <w:rFonts w:eastAsia="" w:eastAsiaTheme="minorEastAsia"/>
              </w:rPr>
            </w:pPr>
            <w:r>
              <w:rPr/>
              <w:t>(</w:t>
            </w:r>
            <w:r>
              <w:fldChar w:fldCharType="begin"/>
            </w:r>
            <w:r>
              <w:rPr/>
              <w:instrText>STYLEREF 1 \s</w:instrText>
            </w:r>
            <w:r>
              <w:rPr/>
              <w:fldChar w:fldCharType="separate"/>
            </w:r>
            <w:bookmarkStart w:id="86" w:name="__Fieldmark__1101_2337847765"/>
            <w:r>
              <w:rPr/>
              <w:t>1</w:t>
            </w:r>
            <w:bookmarkStart w:id="87" w:name="__Fieldmark__2255_983630037"/>
            <w:r>
              <w:rPr/>
            </w:r>
            <w:r>
              <w:rPr/>
              <w:fldChar w:fldCharType="end"/>
            </w:r>
            <w:bookmarkEnd w:id="86"/>
            <w:bookmarkEnd w:id="87"/>
            <w:r>
              <w:rPr/>
              <w:t>.</w:t>
            </w:r>
            <w:r>
              <w:rPr/>
              <w:fldChar w:fldCharType="begin"/>
            </w:r>
            <w:r>
              <w:rPr/>
              <w:instrText> SEQ Formel \* ARABIC </w:instrText>
            </w:r>
            <w:r>
              <w:rPr/>
              <w:fldChar w:fldCharType="separate"/>
            </w:r>
            <w:r>
              <w:rPr/>
              <w:t>3</w:t>
            </w:r>
            <w:r>
              <w:rPr/>
              <w:fldChar w:fldCharType="end"/>
            </w:r>
            <w:r>
              <w:rPr/>
              <w:t>)</w:t>
            </w:r>
          </w:p>
        </w:tc>
      </w:tr>
    </w:tbl>
    <w:p>
      <w:pPr>
        <w:pStyle w:val="Normal"/>
        <w:rPr/>
      </w:pPr>
      <w:r>
        <w:rPr/>
      </w:r>
    </w:p>
    <w:p>
      <w:pPr>
        <w:pStyle w:val="Normal"/>
        <w:rPr>
          <w:rFonts w:eastAsia="" w:eastAsiaTheme="minorEastAsia"/>
        </w:rPr>
      </w:pPr>
      <w:r>
        <w:rPr>
          <w:rFonts w:eastAsia="" w:eastAsiaTheme="minorEastAsia"/>
        </w:rPr>
        <w:t xml:space="preserve">Bei der Sigmoidfunktion handelt es sich um eine differenzierbare, nicht lineare Funktion. Sie führt, verglichen mit einer einfachen Schwellenwertsfunktion, zu einer weicheren Aktivierung des Neurons </w:t>
      </w:r>
      <w:r>
        <w:fldChar w:fldCharType="begin"/>
      </w:r>
      <w:r>
        <w:rPr/>
        <w:instrText>ADDIN CSL_CITATION {"citationItems":[{"id":"ITEM-1","itemData":{"DOI":"10.1007/978-3-322-86830-5_5","author":[{"dropping-particle":"","family":"Scherer","given":"Andreas","non-dropping-particle":"","parse-names":false,"suffix":""},{"dropping-particle":"","family":"Scherer","given":"Andreas","non-dropping-particle":"","parse-names":false,"suffix":""}],"container-title":"Neuronale Netze","id":"ITEM-1","issued":{"date-parts":[["1997"]]},"page":"65-70","title":"Das Perzeptron","type":"article-journal"},"uris":["http://www.mendeley.com/documents/?uuid=422aac46-b558-46bf-a416-ef3cd7f9173f"]}],"mendeley":{"formattedCitation":"[18]","plainTextFormattedCitation":"[18]","previouslyFormattedCitation":"[18]"},"properties":{"noteIndex":0},"schema":"https://github.com/citation-style-language/schema/raw/master/csl-citation.json"}</w:instrText>
      </w:r>
      <w:r>
        <w:rPr/>
        <w:fldChar w:fldCharType="separate"/>
      </w:r>
      <w:bookmarkStart w:id="88" w:name="__Fieldmark__1118_2337847765"/>
      <w:r>
        <w:rPr/>
      </w:r>
      <w:r>
        <w:rPr>
          <w:rFonts w:eastAsia="" w:eastAsiaTheme="minorEastAsia"/>
        </w:rPr>
        <w:t>[</w:t>
      </w:r>
      <w:bookmarkStart w:id="89" w:name="__Fieldmark__2289_983630037"/>
      <w:r>
        <w:rPr>
          <w:rFonts w:eastAsia="" w:eastAsiaTheme="minorEastAsia"/>
        </w:rPr>
        <w:t>18]</w:t>
      </w:r>
      <w:r>
        <w:rPr/>
      </w:r>
      <w:r>
        <w:rPr/>
        <w:fldChar w:fldCharType="end"/>
      </w:r>
      <w:bookmarkEnd w:id="88"/>
      <w:bookmarkEnd w:id="89"/>
      <w:r>
        <w:rPr>
          <w:rFonts w:eastAsia="" w:eastAsiaTheme="minorEastAsia"/>
        </w:rPr>
        <w:t>. Das Modell des Perzeptrons bildet die Grundlage für KNN.</w:t>
      </w:r>
    </w:p>
    <w:p>
      <w:pPr>
        <w:pStyle w:val="Normal"/>
        <w:rPr>
          <w:rFonts w:eastAsia="" w:eastAsiaTheme="minorEastAsia"/>
        </w:rPr>
      </w:pPr>
      <w:r>
        <w:rPr>
          <w:rFonts w:eastAsia="" w:eastAsiaTheme="minorEastAsia"/>
        </w:rPr>
        <w:t xml:space="preserve">Mit einem einfachen einlagigen Perzeptron lässt sich noch keine XOR-Verknüpfung (exklusiv-ODER-Verknüpfung) darstellen. Um diese darstellen zu können wird ein dreilagiges Netz an Perzeptren benötigt. Ein solches ist in </w:t>
      </w:r>
      <w:r>
        <w:rPr>
          <w:rFonts w:eastAsia=""/>
        </w:rPr>
        <w:fldChar w:fldCharType="begin"/>
      </w:r>
      <w:r>
        <w:rPr>
          <w:rFonts w:eastAsia=""/>
        </w:rPr>
        <w:instrText> REF _Ref65708247 \h </w:instrText>
      </w:r>
      <w:r>
        <w:rPr>
          <w:rFonts w:eastAsia=""/>
        </w:rPr>
        <w:fldChar w:fldCharType="separate"/>
      </w:r>
      <w:r>
        <w:rPr>
          <w:rFonts w:eastAsia=""/>
        </w:rPr>
        <w:t>Abbildung 8</w:t>
      </w:r>
      <w:r>
        <w:rPr>
          <w:rFonts w:eastAsia=""/>
        </w:rPr>
        <w:fldChar w:fldCharType="end"/>
      </w:r>
      <w:r>
        <w:rPr>
          <w:rFonts w:eastAsia="" w:eastAsiaTheme="minorEastAsia"/>
        </w:rPr>
        <w:t xml:space="preserve"> dargestellt.</w:t>
      </w:r>
    </w:p>
    <w:p>
      <w:pPr>
        <w:pStyle w:val="Normal"/>
        <w:rPr>
          <w:rFonts w:eastAsia="" w:eastAsiaTheme="minorEastAsia"/>
        </w:rPr>
      </w:pPr>
      <w:r>
        <w:rPr>
          <w:rFonts w:eastAsia="" w:eastAsiaTheme="minorEastAsia"/>
        </w:rPr>
      </w:r>
    </w:p>
    <w:p>
      <w:pPr>
        <w:pStyle w:val="Normal"/>
        <w:keepNext w:val="true"/>
        <w:rPr/>
      </w:pPr>
      <w:r>
        <w:rPr/>
        <w:drawing>
          <wp:inline distT="0" distB="0" distL="0" distR="0">
            <wp:extent cx="4161155" cy="2360930"/>
            <wp:effectExtent l="0" t="0" r="0" b="0"/>
            <wp:docPr id="10"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4" descr=""/>
                    <pic:cNvPicPr>
                      <a:picLocks noChangeAspect="1" noChangeArrowheads="1"/>
                    </pic:cNvPicPr>
                  </pic:nvPicPr>
                  <pic:blipFill>
                    <a:blip r:embed="rId13"/>
                    <a:srcRect l="2548" t="6961" r="24831" b="19786"/>
                    <a:stretch>
                      <a:fillRect/>
                    </a:stretch>
                  </pic:blipFill>
                  <pic:spPr bwMode="auto">
                    <a:xfrm>
                      <a:off x="0" y="0"/>
                      <a:ext cx="4161155" cy="2360930"/>
                    </a:xfrm>
                    <a:prstGeom prst="rect">
                      <a:avLst/>
                    </a:prstGeom>
                  </pic:spPr>
                </pic:pic>
              </a:graphicData>
            </a:graphic>
          </wp:inline>
        </w:drawing>
      </w:r>
    </w:p>
    <w:p>
      <w:pPr>
        <w:pStyle w:val="Caption"/>
        <w:jc w:val="both"/>
        <w:rPr/>
      </w:pPr>
      <w:bookmarkStart w:id="90" w:name="_Ref65708247"/>
      <w:r>
        <w:rPr>
          <w:b/>
          <w:bCs/>
        </w:rPr>
        <w:t xml:space="preserve">Abbildung </w:t>
      </w:r>
      <w:r>
        <w:rPr>
          <w:b/>
          <w:bCs/>
        </w:rPr>
        <w:fldChar w:fldCharType="begin"/>
      </w:r>
      <w:r>
        <w:rPr>
          <w:b/>
          <w:bCs/>
        </w:rPr>
        <w:instrText> SEQ Abbildung \* ARABIC </w:instrText>
      </w:r>
      <w:r>
        <w:rPr>
          <w:b/>
          <w:bCs/>
        </w:rPr>
        <w:fldChar w:fldCharType="separate"/>
      </w:r>
      <w:r>
        <w:rPr>
          <w:b/>
          <w:bCs/>
        </w:rPr>
        <w:t>8</w:t>
      </w:r>
      <w:r>
        <w:rPr>
          <w:b/>
          <w:bCs/>
        </w:rPr>
        <w:fldChar w:fldCharType="end"/>
      </w:r>
      <w:bookmarkEnd w:id="90"/>
      <w:r>
        <w:rPr>
          <w:b/>
          <w:bCs/>
        </w:rPr>
        <w:t>:</w:t>
      </w:r>
      <w:r>
        <w:rPr/>
        <w:t xml:space="preserve"> Mehrlagiges XOR-Netz. Achtung, hier stellt jeder Kreis ein komplettes Perzeptron dar (wichtiger Unterschied zu </w:t>
      </w:r>
      <w:r>
        <w:rPr/>
        <w:fldChar w:fldCharType="begin"/>
      </w:r>
      <w:r>
        <w:rPr/>
        <w:instrText> REF _Ref65633987 \h </w:instrText>
      </w:r>
      <w:r>
        <w:rPr/>
        <w:fldChar w:fldCharType="separate"/>
      </w:r>
      <w:r>
        <w:rPr/>
        <w:t>Abbildung 7</w:t>
      </w:r>
      <w:r>
        <w:rPr/>
        <w:fldChar w:fldCharType="end"/>
      </w:r>
      <w:r>
        <w:rPr/>
        <w:t xml:space="preserve">). x und y stehen für die Eingabeoperanden 1 (wahr) und 0 (falsch). Auf den Pfeilen ist je das Gewicht angegeben. Die Neuronen der verdeckten Schicht besitzen zudem einen Schwellenwert, welcher in dem jeweiligen Kreis angegeben ist. Allgemein ist der Schwellenwert nichts anderes als der negative Wert des </w:t>
      </w:r>
      <w:r>
        <w:rPr/>
        <w:fldChar w:fldCharType="begin"/>
      </w:r>
      <w:r>
        <w:rPr/>
        <w:instrText> REF bias \p \h </w:instrText>
      </w:r>
      <w:r>
        <w:rPr/>
        <w:fldChar w:fldCharType="separate"/>
      </w:r>
      <w:r>
        <w:rPr/>
        <w:t>oben</w:t>
      </w:r>
      <w:r>
        <w:rPr/>
        <w:fldChar w:fldCharType="end"/>
      </w:r>
      <w:r>
        <w:rPr/>
        <w:t xml:space="preserve"> erwähnten Bias. Neuronen der verdeckten Schicht feuern nur, wenn ihre Eingabe größer gleich dem Schwellwert ist. </w:t>
      </w:r>
      <w:r>
        <w:rPr/>
      </w:r>
      <m:oMath xmlns:m="http://schemas.openxmlformats.org/officeDocument/2006/math">
        <m:r>
          <w:rPr>
            <w:rFonts w:ascii="Cambria Math" w:hAnsi="Cambria Math"/>
          </w:rPr>
          <m:t xml:space="preserve">Z</m:t>
        </m:r>
      </m:oMath>
      <w:r>
        <w:rPr/>
        <w:t xml:space="preserve"> ist die Variable für die gewichtete Summe der Ausgabewerte des Netzes.</w:t>
      </w:r>
    </w:p>
    <w:p>
      <w:pPr>
        <w:pStyle w:val="Normal"/>
        <w:rPr>
          <w:rFonts w:eastAsia="" w:eastAsiaTheme="minorEastAsia"/>
          <w:highlight w:val="yellow"/>
        </w:rPr>
      </w:pPr>
      <w:r>
        <w:rPr>
          <w:rFonts w:eastAsia="" w:eastAsiaTheme="minorEastAsia"/>
          <w:highlight w:val="yellow"/>
        </w:rPr>
      </w:r>
    </w:p>
    <w:p>
      <w:pPr>
        <w:pStyle w:val="Normal"/>
        <w:rPr>
          <w:rFonts w:eastAsia="" w:eastAsiaTheme="minorEastAsia"/>
        </w:rPr>
      </w:pPr>
      <w:r>
        <w:rPr>
          <w:rFonts w:eastAsia="" w:eastAsiaTheme="minorEastAsia"/>
        </w:rPr>
        <w:t xml:space="preserve">Wenn die beiden Eingabewerte identisch sind, ergeben sich für </w:t>
      </w:r>
      <w:r>
        <w:rPr/>
      </w:r>
      <m:oMath xmlns:m="http://schemas.openxmlformats.org/officeDocument/2006/math">
        <m:r>
          <w:rPr>
            <w:rFonts w:ascii="Cambria Math" w:hAnsi="Cambria Math"/>
          </w:rPr>
          <m:t xml:space="preserve">z</m:t>
        </m:r>
      </m:oMath>
      <w:r>
        <w:rPr>
          <w:rFonts w:eastAsia="" w:eastAsiaTheme="minorEastAsia"/>
        </w:rPr>
        <w:t xml:space="preserve"> die beiden Fälle:</w:t>
      </w:r>
    </w:p>
    <w:p>
      <w:pPr>
        <w:pStyle w:val="ListParagraph"/>
        <w:numPr>
          <w:ilvl w:val="0"/>
          <w:numId w:val="6"/>
        </w:numPr>
        <w:rPr>
          <w:rFonts w:eastAsia="" w:eastAsiaTheme="minorEastAsia"/>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oMath>
      <w:r>
        <w:rPr>
          <w:rFonts w:eastAsia="" w:eastAsiaTheme="minorEastAsia"/>
        </w:rPr>
        <w:t>: Kein Perzeptron feuert.</w:t>
      </w:r>
    </w:p>
    <w:p>
      <w:pPr>
        <w:pStyle w:val="ListParagraph"/>
        <w:numPr>
          <w:ilvl w:val="0"/>
          <w:numId w:val="6"/>
        </w:numPr>
        <w:rPr>
          <w:rFonts w:eastAsia="" w:eastAsiaTheme="minorEastAsia"/>
          <w:b/>
          <w:b/>
          <w:bCs/>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oMath>
      <w:r>
        <w:rPr>
          <w:rFonts w:eastAsia="" w:eastAsiaTheme="minorEastAsia"/>
          <w:iCs/>
        </w:rPr>
        <w:t>:</w:t>
      </w:r>
      <w:r>
        <w:rPr>
          <w:rFonts w:eastAsia="" w:eastAsiaTheme="minorEastAsia"/>
          <w:b/>
          <w:bCs/>
        </w:rPr>
        <w:t xml:space="preserve"> </w:t>
      </w:r>
      <w:r>
        <w:rPr>
          <w:rFonts w:eastAsia="" w:eastAsiaTheme="minorEastAsia"/>
        </w:rPr>
        <w:t>Alle Perzeptren feuern.</w:t>
      </w:r>
      <w:r>
        <w:rPr>
          <w:rFonts w:eastAsia="" w:eastAsiaTheme="minorEastAsia"/>
          <w:b/>
          <w:bCs/>
        </w:rPr>
        <w:t xml:space="preserve"> </w:t>
      </w:r>
    </w:p>
    <w:p>
      <w:pPr>
        <w:pStyle w:val="Normal"/>
        <w:rPr>
          <w:rFonts w:eastAsia="" w:eastAsiaTheme="minorEastAsia"/>
        </w:rPr>
      </w:pPr>
      <w:r>
        <w:rPr>
          <w:rFonts w:eastAsia="" w:eastAsiaTheme="minorEastAsia"/>
        </w:rPr>
        <w:t xml:space="preserve">Wenn sich die beiden Eingangswerte unterscheiden, ergeben sich für </w:t>
      </w:r>
      <w:r>
        <w:rPr/>
      </w:r>
      <m:oMath xmlns:m="http://schemas.openxmlformats.org/officeDocument/2006/math">
        <m:r>
          <w:rPr>
            <w:rFonts w:ascii="Cambria Math" w:hAnsi="Cambria Math"/>
          </w:rPr>
          <m:t xml:space="preserve">z</m:t>
        </m:r>
      </m:oMath>
      <w:r>
        <w:rPr>
          <w:rFonts w:eastAsia="" w:eastAsiaTheme="minorEastAsia"/>
        </w:rPr>
        <w:t xml:space="preserve"> folgende Fälle:</w:t>
      </w:r>
    </w:p>
    <w:p>
      <w:pPr>
        <w:pStyle w:val="ListParagraph"/>
        <w:numPr>
          <w:ilvl w:val="0"/>
          <w:numId w:val="7"/>
        </w:numPr>
        <w:rPr>
          <w:rFonts w:eastAsia="" w:eastAsiaTheme="minorEastAsia"/>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oMath>
      <w:r>
        <w:rPr>
          <w:rFonts w:eastAsia="" w:eastAsiaTheme="minorEastAsia"/>
        </w:rPr>
        <w:t>: Nur das obere Perzeptron feuert.</w:t>
      </w:r>
    </w:p>
    <w:p>
      <w:pPr>
        <w:pStyle w:val="ListParagraph"/>
        <w:numPr>
          <w:ilvl w:val="0"/>
          <w:numId w:val="7"/>
        </w:numPr>
        <w:rPr>
          <w:rFonts w:eastAsia="" w:eastAsiaTheme="minorEastAsia"/>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oMath>
      <w:r>
        <w:rPr>
          <w:rFonts w:eastAsia="" w:eastAsiaTheme="minorEastAsia"/>
        </w:rPr>
        <w:t>: Nur das untere Perzeptron feuert.</w:t>
      </w:r>
    </w:p>
    <w:p>
      <w:pPr>
        <w:pStyle w:val="Normal"/>
        <w:rPr>
          <w:rFonts w:eastAsia="" w:eastAsiaTheme="minorEastAsia"/>
        </w:rPr>
      </w:pPr>
      <w:r>
        <w:rPr>
          <w:rFonts w:eastAsia="" w:eastAsiaTheme="minorEastAsia"/>
        </w:rPr>
      </w:r>
    </w:p>
    <w:p>
      <w:pPr>
        <w:pStyle w:val="Normal"/>
        <w:rPr>
          <w:rFonts w:eastAsia="" w:eastAsiaTheme="minorEastAsia"/>
        </w:rPr>
      </w:pPr>
      <w:r>
        <w:rPr>
          <w:b/>
          <w:bCs/>
        </w:rPr>
        <w:t xml:space="preserve">Aufbau eines KNN: </w:t>
      </w:r>
      <w:r>
        <w:rPr>
          <w:rFonts w:eastAsia="" w:eastAsiaTheme="minorEastAsia"/>
        </w:rPr>
        <w:t xml:space="preserve">Das in </w:t>
      </w:r>
      <w:r>
        <w:rPr>
          <w:rFonts w:eastAsia=""/>
        </w:rPr>
        <w:fldChar w:fldCharType="begin"/>
      </w:r>
      <w:r>
        <w:rPr>
          <w:rFonts w:eastAsia=""/>
        </w:rPr>
        <w:instrText> REF _Ref65708247 \h </w:instrText>
      </w:r>
      <w:r>
        <w:rPr>
          <w:rFonts w:eastAsia=""/>
        </w:rPr>
        <w:fldChar w:fldCharType="separate"/>
      </w:r>
      <w:r>
        <w:rPr>
          <w:rFonts w:eastAsia=""/>
        </w:rPr>
        <w:t>Abbildung 8</w:t>
      </w:r>
      <w:r>
        <w:rPr>
          <w:rFonts w:eastAsia=""/>
        </w:rPr>
        <w:fldChar w:fldCharType="end"/>
      </w:r>
      <w:r>
        <w:rPr>
          <w:rFonts w:eastAsia="" w:eastAsiaTheme="minorEastAsia"/>
        </w:rPr>
        <w:t xml:space="preserve"> gezeigte mehrlagige Perzeptron ist ein KNN und besteht aus drei Schichten (eine Eingabeschicht, eine verdeckte Schicht und eine Ausgabeschicht). In der Eingabeschicht befinden sich Perzeptren, die von keinem anderem Perzeptron einen Input erhalten. Sie dienen der Netzeingabe. Die sich an die Eingabeschicht anschließenden verdeckten Schichten eines KNNs (bei dem XOR-Netz ist das eine einzige), entsprechen den bereits </w:t>
      </w:r>
      <w:r>
        <w:rPr>
          <w:rFonts w:eastAsia=""/>
        </w:rPr>
        <w:fldChar w:fldCharType="begin"/>
      </w:r>
      <w:r>
        <w:rPr>
          <w:rFonts w:eastAsia=""/>
        </w:rPr>
        <w:instrText> REF einlagigesPerzeptron \p \h </w:instrText>
      </w:r>
      <w:r>
        <w:rPr>
          <w:rFonts w:eastAsia=""/>
        </w:rPr>
        <w:fldChar w:fldCharType="separate"/>
      </w:r>
      <w:r>
        <w:rPr>
          <w:rFonts w:eastAsia=""/>
        </w:rPr>
        <w:t>oben</w:t>
      </w:r>
      <w:r>
        <w:rPr>
          <w:rFonts w:eastAsia=""/>
        </w:rPr>
        <w:fldChar w:fldCharType="end"/>
      </w:r>
      <w:r>
        <w:rPr>
          <w:rFonts w:eastAsia="" w:eastAsiaTheme="minorEastAsia"/>
        </w:rPr>
        <w:t xml:space="preserve"> beschriebenen einlagigen Perzeptren. Allgemein erhalten die Neurone der </w:t>
      </w:r>
      <w:r>
        <w:rPr/>
      </w:r>
      <m:oMath xmlns:m="http://schemas.openxmlformats.org/officeDocument/2006/math">
        <m:r>
          <w:rPr>
            <w:rFonts w:ascii="Cambria Math" w:hAnsi="Cambria Math"/>
          </w:rPr>
          <m:t xml:space="preserve">i</m:t>
        </m:r>
      </m:oMath>
      <w:r>
        <w:rPr>
          <w:rFonts w:eastAsia="" w:eastAsiaTheme="minorEastAsia"/>
        </w:rPr>
        <w:t xml:space="preserve">-ten verdeckten Schicht die Ausgabe der Neurone der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oMath>
      <w:r>
        <w:rPr>
          <w:rFonts w:eastAsia="" w:eastAsiaTheme="minorEastAsia"/>
        </w:rPr>
        <w:t xml:space="preserve">-ten verdeckten Schicht als Eingabe. Für jede verdeckte Schicht wird nun mit </w:t>
      </w:r>
      <w:r>
        <w:rPr>
          <w:rFonts w:eastAsia=""/>
        </w:rPr>
        <w:fldChar w:fldCharType="begin"/>
      </w:r>
      <w:r>
        <w:rPr>
          <w:rFonts w:eastAsia=""/>
        </w:rPr>
        <w:instrText> REF _Ref65720980 \h </w:instrText>
      </w:r>
      <w:r>
        <w:rPr>
          <w:rFonts w:eastAsia=""/>
        </w:rPr>
        <w:fldChar w:fldCharType="separate"/>
      </w:r>
      <w:r>
        <w:rPr>
          <w:rFonts w:eastAsia=""/>
        </w:rPr>
        <w:t>( 1 .1)</w:t>
      </w:r>
      <w:r>
        <w:rPr>
          <w:rFonts w:eastAsia=""/>
        </w:rPr>
        <w:fldChar w:fldCharType="end"/>
      </w:r>
      <w:r>
        <w:rPr>
          <w:rFonts w:eastAsia="" w:eastAsiaTheme="minorEastAsia"/>
        </w:rPr>
        <w:t xml:space="preserve"> die gewichtete Summe aller verschiedenen Eingaben berechnet und anschließend mit der Aktivierungsfunktion </w:t>
      </w:r>
      <w:r>
        <w:rPr>
          <w:rFonts w:eastAsia=""/>
        </w:rPr>
        <w:fldChar w:fldCharType="begin"/>
      </w:r>
      <w:r>
        <w:rPr>
          <w:rFonts w:eastAsia=""/>
        </w:rPr>
        <w:instrText> REF _Ref65721234 \h </w:instrText>
      </w:r>
      <w:r>
        <w:rPr>
          <w:rFonts w:eastAsia=""/>
        </w:rPr>
        <w:fldChar w:fldCharType="separate"/>
      </w:r>
      <w:r>
        <w:rPr>
          <w:rFonts w:eastAsia=""/>
        </w:rPr>
        <w:t>( 1 .2)</w:t>
      </w:r>
      <w:r>
        <w:rPr>
          <w:rFonts w:eastAsia=""/>
        </w:rPr>
        <w:fldChar w:fldCharType="end"/>
      </w:r>
      <w:r>
        <w:rPr>
          <w:rFonts w:eastAsia="" w:eastAsiaTheme="minorEastAsia"/>
        </w:rPr>
        <w:t xml:space="preserve"> die Ausgabe bestimmt. Die Neurone der Ausgabeschicht geben den erhaltenen Wert aus.  </w:t>
      </w:r>
    </w:p>
    <w:p>
      <w:pPr>
        <w:pStyle w:val="Normal"/>
        <w:rPr/>
      </w:pPr>
      <w:r>
        <w:rPr/>
        <w:t xml:space="preserve">Bei KNNs wird allgemein zwischen zwei verschiedenen Klassen unterschieden: Es gibt rekurrente neuronale Netze </w:t>
      </w:r>
      <w:r>
        <w:rPr>
          <w:i/>
          <w:iCs/>
        </w:rPr>
        <w:t>(engl. recurrent neural network, RNN)</w:t>
      </w:r>
      <w:r>
        <w:rPr/>
        <w:t xml:space="preserve"> und vorwärtsgerichtete neuronale Netze </w:t>
      </w:r>
      <w:r>
        <w:rPr>
          <w:i/>
          <w:iCs/>
        </w:rPr>
        <w:t>(engl. feedforward neuronal network, FNN).</w:t>
      </w:r>
      <w:r>
        <w:rPr/>
        <w:t xml:space="preserve"> Sie unterscheiden sich in der Verknüpfung der einzelnen Neurone. Bei dem RNN fließen die Signale stets nur in eine Richtung, während in einem FNN der Signalfluss in Zyklen erfolgt. D.h. es sind auch Verbindungen zu Neuronen derselben oder einer vorangegangenen Schicht möglich. Die heutzutage häufig vorkommende Bezeichnung tiefes Lernen </w:t>
      </w:r>
      <w:r>
        <w:rPr>
          <w:i/>
          <w:iCs/>
        </w:rPr>
        <w:t>(engl. deep learning),</w:t>
      </w:r>
      <w:r>
        <w:rPr/>
        <w:t xml:space="preserve"> beschreibt ein KNN, das über viele verdeckte Schichten verfügt. Je größer die Anzahl der verdeckten Schichten und der Neuronen ist, desto besser können Muster erkennt werden, oder Objekte klassifiziert werden. So basiert z.B. der zu Beginn der </w:t>
      </w:r>
      <w:r>
        <w:rPr/>
        <w:fldChar w:fldCharType="begin"/>
      </w:r>
      <w:r>
        <w:rPr/>
        <w:instrText> REF _Ref66980926 \h </w:instrText>
      </w:r>
      <w:r>
        <w:rPr/>
        <w:fldChar w:fldCharType="separate"/>
      </w:r>
      <w:r>
        <w:rPr/>
        <w:t>Einleitung</w:t>
      </w:r>
      <w:r>
        <w:rPr/>
        <w:fldChar w:fldCharType="end"/>
      </w:r>
      <w:r>
        <w:rPr/>
        <w:t xml:space="preserve"> beschriebene GO-Computer auf tiefen neuronalen Netzen. </w:t>
      </w:r>
    </w:p>
    <w:p>
      <w:pPr>
        <w:pStyle w:val="Normal"/>
        <w:rPr/>
      </w:pPr>
      <w:r>
        <w:rPr>
          <w:b/>
          <w:bCs/>
        </w:rPr>
        <w:t xml:space="preserve">Trainieren von KNN: </w:t>
      </w:r>
      <w:r>
        <w:rPr/>
        <w:t xml:space="preserve">Generell ist es wichtig, eine genügend große Menge an Trainingsdaten zu haben, um ein Modell für das tiefe Lernen erfolgreich zu trainieren </w:t>
      </w:r>
      <w:r>
        <w:fldChar w:fldCharType="begin"/>
      </w:r>
      <w:r>
        <w:rPr/>
        <w:instrText>ADDIN CSL_CITATION {"citationItems":[{"id":"ITEM-1","itemData":{"abstract":"Deep Learning book","author":[{"dropping-particle":"","family":"Goodfellow","given":"Ian","non-dropping-particle":"","parse-names":false,"suffix":""},{"dropping-particle":"","family":"Bengio","given":"Yoshua","non-dropping-particle":"","parse-names":false,"suffix":""},{"dropping-particle":"","family":"Courville","given":"Aaron","non-dropping-particle":"","parse-names":false,"suffix":""}],"container-title":"Linear Algebra","id":"ITEM-1","issued":{"date-parts":[["2014"]]},"number-of-pages":"19-20","publisher":"MIT Press","title":"Deep Learning","type":"book"},"uris":["http://www.mendeley.com/documents/?uuid=a49814ce-9950-49da-81f9-b2a213c25cfc"]}],"mendeley":{"formattedCitation":"[19]","plainTextFormattedCitation":"[19]","previouslyFormattedCitation":"[19]"},"properties":{"noteIndex":0},"schema":"https://github.com/citation-style-language/schema/raw/master/csl-citation.json"}</w:instrText>
      </w:r>
      <w:r>
        <w:rPr/>
        <w:fldChar w:fldCharType="separate"/>
      </w:r>
      <w:bookmarkStart w:id="91" w:name="__Fieldmark__1198_2337847765"/>
      <w:r>
        <w:rPr/>
        <w:t>[</w:t>
      </w:r>
      <w:bookmarkStart w:id="92" w:name="__Fieldmark__2554_983630037"/>
      <w:r>
        <w:rPr/>
        <w:t>19]</w:t>
      </w:r>
      <w:r>
        <w:rPr/>
      </w:r>
      <w:r>
        <w:rPr/>
        <w:fldChar w:fldCharType="end"/>
      </w:r>
      <w:bookmarkEnd w:id="91"/>
      <w:bookmarkEnd w:id="92"/>
      <w:r>
        <w:rPr/>
        <w:t xml:space="preserve">. Das Training kann auch als Optimierungsproblem aufgefasst werden, bei dem die Gewichte der einzelnen Neurone so verändert werden sollen, dass der Fehler der Klassifizierung möglichst gering wird. Das bedeutet, dass ähnliche Dateneingangsströme von dem Netz aus Neuronen ähnlich behandelt werden sollen. Es erfolgt häufig mit dem sogenannten Gradientenabstiegsverfahren </w:t>
      </w:r>
      <w:r>
        <w:rPr>
          <w:i/>
          <w:iCs/>
        </w:rPr>
        <w:t>(engl. backpropagation)</w:t>
      </w:r>
      <w:r>
        <w:rPr/>
        <w:t>. In jedem Trainingsschritt wird, wie oben beschrieben, ein Dateneingangsstrom von der Eingabeschicht zur Ausgabeschicht verarbeitet und weitergeleitet. Anschließend wird, mit einer Fehlerfunktion die Abweichung der Ausgabe der Ausgabeschicht von dem erwarteten Ergebnis, berechnet. Die Abweichung wird, begonnen mit der Ausgabeschicht, Neuron für Neuron rückgerechnet und dabei jeweils die Gewichte entsprechend der Abweichung angepasst. Dies wird für jeden neuen Dateneingangsstrom wiederholt, bis ein lokales Minimum des Fehlers gefunden wurde. Da vor dem ersten Trainingsschritt noch keine Abweichung berechnet werden kann, werden die ersten Gewichte zufällig gesetzt. Für die Gewichtsänderung selbst ist die Lernrate eine wichtige Größe. Sie gibt an, wie stark die Gewichte jeweils angepasst werden, was einen großen Einfluss auf die Dauer des Lernprozesses hat. Ist sie zu groß gewählt kommt es zu großen Sprüngen und ein Minimum wird möglicherweise nicht gefunden. Wenn sie zu klein ist, kann der Lernprozess viel Zeit beanspruchen.</w:t>
      </w:r>
    </w:p>
    <w:p>
      <w:pPr>
        <w:pStyle w:val="Normal"/>
        <w:rPr/>
      </w:pPr>
      <w:r>
        <w:rPr/>
      </w:r>
    </w:p>
    <w:p>
      <w:pPr>
        <w:pStyle w:val="Berschrift2"/>
        <w:numPr>
          <w:ilvl w:val="1"/>
          <w:numId w:val="2"/>
        </w:numPr>
        <w:rPr/>
      </w:pPr>
      <w:bookmarkStart w:id="93" w:name="_Toc66477595"/>
      <w:bookmarkStart w:id="94" w:name="_Ref66208620"/>
      <w:bookmarkStart w:id="95" w:name="_Toc66981153"/>
      <w:r>
        <w:rPr/>
        <w:t xml:space="preserve">Wirkstoffsuche im Zeitalter von Big </w:t>
      </w:r>
      <w:bookmarkEnd w:id="93"/>
      <w:bookmarkEnd w:id="94"/>
      <w:r>
        <w:rPr/>
        <w:t>Data</w:t>
      </w:r>
      <w:bookmarkEnd w:id="95"/>
    </w:p>
    <w:p>
      <w:pPr>
        <w:pStyle w:val="Berschrift3"/>
        <w:numPr>
          <w:ilvl w:val="2"/>
          <w:numId w:val="2"/>
        </w:numPr>
        <w:rPr/>
      </w:pPr>
      <w:bookmarkStart w:id="96" w:name="_Toc66981154"/>
      <w:bookmarkStart w:id="97" w:name="_Toc66477596"/>
      <w:r>
        <w:rPr/>
        <w:t>klassischer Weg</w:t>
      </w:r>
      <w:bookmarkEnd w:id="96"/>
      <w:bookmarkEnd w:id="97"/>
      <w:r>
        <w:rPr/>
        <w:t xml:space="preserve"> </w:t>
      </w:r>
    </w:p>
    <w:p>
      <w:pPr>
        <w:pStyle w:val="Normal"/>
        <w:rPr/>
      </w:pPr>
      <w:r>
        <w:rPr/>
        <w:t xml:space="preserve">Das Finden und Entwickeln neuer Wirkstoffe ist in der heutigen Zeit ein Prozess, welcher Jahre dauert und eine große Menge Geld benötigt. Eine Publikation aus dem Jahr 2020 beziffert die durchschnittlichen Kosten für die Entwicklung und Forschung eines neuen Wirkstoffes auf 985 Millionen US-$ </w:t>
      </w:r>
      <w:r>
        <w:fldChar w:fldCharType="begin"/>
      </w:r>
      <w:r>
        <w:rPr/>
        <w:instrText>ADDIN CSL_CITATION {"citationItems":[{"id":"ITEM-1","itemData":{"DOI":"10.1001/jama.2020.1166","ISSN":"15383598","PMID":"32125404","abstract":"Importance: The mean cost of developing a new drug has been the subject of debate, with recent estimates ranging from 314 million to 2.8 billion. Objective: To estimate the research and development investment required to bring a new therapeutic agent to market, using publicly available data. Design and Setting: Data were analyzed on new therapeutic agents approved by the US Food and Drug Administration (FDA) between 2009 and 2018 to estimate the research and development expenditure required to bring a new medicine to market. Data were accessed from the US Securities and Exchange Commission, Drugs@FDA database, and ClinicalTrials.gov, alongside published data on clinical trial success rates. Exposures: Conduct of preclinical and clinical studies of new therapeutic agents. Main Outcomes and Measures: Median and mean research and development spending on new therapeutic agents approved by the FDA, capitalized at a real cost of capital rate (the required rate of return for an investor) of 10.5% per year, with bootstrapped CIs. All amounts were reported in 2018 US dollars. Results: The FDA approved 355 new drugs and biologics over the study period. Research and development expenditures were available for 63 (18%) products, developed by 47 different companies. After accounting for the costs of failed trials, the median capitalized research and development investment to bring a new drug to market was estimated at 985.3 million (95% CI, 683.6 million-1228.9 million), and the mean investment was estimated at 1335.9 million (95% CI, 1042.5 million-1637.5 million) in the base case analysis. Median estimates by therapeutic area (for areas with =5 drugs) ranged from 765.9 million (95% CI, 323.0 million-1473.5 million) for nervous system agents to 2771.6 million (95% CI, 2051.8 million-5366.2 million) for antineoplastic and immunomodulating agents. Data were mainly accessible for smaller firms, orphan drugs, products in certain therapeutic areas, first-in-class drugs, therapeutic agents that received accelerated approval, and products approved between 2014 and 2018. Results varied in sensitivity analyses using different estimates of clinical trial success rates, preclinical expenditures, and cost of capital. Conclusions and Relevance: This study provides an estimate of research and development costs for new therapeutic agents based on publicly available data. Differences from previous studies may reflect the spectrum of products analyzed, the restricted availability o…","author":[{"dropping-particle":"","family":"Wouters","given":"Olivier J.","non-dropping-particle":"","parse-names":false,"suffix":""},{"dropping-particle":"","family":"McKee","given":"Martin","non-dropping-particle":"","parse-names":false,"suffix":""},{"dropping-particle":"","family":"Luyten","given":"Jeroen","non-dropping-particle":"","parse-names":false,"suffix":""}],"container-title":"JAMA - Journal of the American Medical Association","id":"ITEM-1","issue":"9","issued":{"date-parts":[["2020"]]},"page":"844-853","title":"Estimated Research and Development Investment Needed to Bring a New Medicine to Market, 2009-2018","type":"article-journal","volume":"323"},"uris":["http://www.mendeley.com/documents/?uuid=2ad2ecce-35c0-43bd-b791-11302a17d856"]}],"mendeley":{"formattedCitation":"[20]","plainTextFormattedCitation":"[20]","previouslyFormattedCitation":"[20]"},"properties":{"noteIndex":0},"schema":"https://github.com/citation-style-language/schema/raw/master/csl-citation.json"}</w:instrText>
      </w:r>
      <w:r>
        <w:rPr/>
        <w:fldChar w:fldCharType="separate"/>
      </w:r>
      <w:bookmarkStart w:id="98" w:name="__Fieldmark__1222_2337847765"/>
      <w:r>
        <w:rPr/>
        <w:t>[</w:t>
      </w:r>
      <w:bookmarkStart w:id="99" w:name="__Fieldmark__2664_983630037"/>
      <w:r>
        <w:rPr/>
        <w:t>20]</w:t>
      </w:r>
      <w:r>
        <w:rPr/>
      </w:r>
      <w:r>
        <w:rPr/>
        <w:fldChar w:fldCharType="end"/>
      </w:r>
      <w:bookmarkEnd w:id="98"/>
      <w:bookmarkEnd w:id="99"/>
      <w:r>
        <w:rPr/>
        <w:t xml:space="preserve">. Wenn ein Zielmolekül (meist ein Protein) im Körper identifiziert wurde, geht es darum eine passende Leitstruktur zu finden, welche mit dem Zielmolekül interagieren kann. Dafür kommt seit Mitte der 90er Jahre das Hochdurchsatz-Screening zum Einsatz, bei dem große Molekülbibliotheken mittels automatisierten in vitro-Testsystemen durchmustert werden. Um den fertigen Wirkstoff zu erhalten muss die gefundene Leitstruktur hinsichtlich ihrer pharmakologischen und physikochemischen Eigenschaften optimiert werden. Bei dem fertigen Wirkstoff selbst handelt es sich meistens um eine niedermolekulare Verbindung </w:t>
      </w:r>
      <w:r>
        <w:rPr>
          <w:i/>
          <w:iCs/>
        </w:rPr>
        <w:t>(engl. small molecule)</w:t>
      </w:r>
      <w:r>
        <w:rPr/>
        <w:t xml:space="preserve">, d.h. eine chemische Verbindung mit einem geringen Molekulargewicht. Die Verbindungen greifen an Zielmolekülen wie Enzymen, Rezeptoren oder Ionenkanälen an und erzielen so eine Wirkung auf den Organismus.    </w:t>
      </w:r>
    </w:p>
    <w:p>
      <w:pPr>
        <w:pStyle w:val="Normal"/>
        <w:rPr/>
      </w:pPr>
      <w:r>
        <w:rPr/>
      </w:r>
    </w:p>
    <w:p>
      <w:pPr>
        <w:pStyle w:val="Berschrift3"/>
        <w:numPr>
          <w:ilvl w:val="2"/>
          <w:numId w:val="2"/>
        </w:numPr>
        <w:rPr/>
      </w:pPr>
      <w:bookmarkStart w:id="100" w:name="_Toc66477597"/>
      <w:bookmarkStart w:id="101" w:name="_Toc66981155"/>
      <w:r>
        <w:rPr/>
        <w:t>virtuelles Screening</w:t>
      </w:r>
      <w:bookmarkEnd w:id="100"/>
      <w:bookmarkEnd w:id="101"/>
    </w:p>
    <w:p>
      <w:pPr>
        <w:pStyle w:val="Normal"/>
        <w:rPr/>
      </w:pPr>
      <w:r>
        <w:rPr/>
        <w:t xml:space="preserve">Auf dem Weg zum fertigen Wirkstoff stellt das Hochdurchsatz-Screening einen zeitaufwendigen und zeitintensiven Prozess dar </w:t>
      </w:r>
      <w:r>
        <w:fldChar w:fldCharType="begin"/>
      </w:r>
      <w:r>
        <w:rPr/>
        <w:instrText>ADDIN CSL_CITATION {"citationItems":[{"id":"ITEM-1","itemData":{"ISBN":"978-3-8274-2046-6","author":[{"dropping-particle":"","family":"Klebe","given":"Gerhard","non-dropping-particle":"","parse-names":false,"suffix":""}],"edition":"2.Auflage","id":"ITEM-1","issued":{"date-parts":[["2009"]]},"publisher":"Spektrum Akademischer Verlag","title":"Wirkstoffdesign","type":"book"},"uris":["http://www.mendeley.com/documents/?uuid=eaab6203-0539-41c6-a991-81e43bdbd243"]}],"mendeley":{"formattedCitation":"[21]","plainTextFormattedCitation":"[21]","previouslyFormattedCitation":"[21]"},"properties":{"noteIndex":0},"schema":"https://github.com/citation-style-language/schema/raw/master/csl-citation.json"}</w:instrText>
      </w:r>
      <w:r>
        <w:rPr/>
        <w:fldChar w:fldCharType="separate"/>
      </w:r>
      <w:bookmarkStart w:id="102" w:name="__Fieldmark__1237_2337847765"/>
      <w:r>
        <w:rPr/>
        <w:t>[</w:t>
      </w:r>
      <w:bookmarkStart w:id="103" w:name="__Fieldmark__2736_983630037"/>
      <w:r>
        <w:rPr/>
        <w:t>21]</w:t>
      </w:r>
      <w:r>
        <w:rPr/>
      </w:r>
      <w:r>
        <w:rPr/>
        <w:fldChar w:fldCharType="end"/>
      </w:r>
      <w:bookmarkEnd w:id="102"/>
      <w:bookmarkEnd w:id="103"/>
      <w:r>
        <w:rPr/>
        <w:t>. Angesichts der riesigen Größe der Molekülbibliotheken, ist es von Interesse der Pharmabranche, die für eine im Hochdurchsatz</w:t>
        <w:noBreakHyphen/>
        <w:t>Screening getestete Substanz anfallenden Kosten von 2 bis 5 US-$, zu minimieren. Daher findet das virtuelle Screening, basierend auf computergestützten Techniken, immer mehr an Bedeutung. Dockingprogramme können die Moleküle der Datenbank als 3D-Modelle in die Bindetasche des Proteins legen und mithilfe einer Scoring-Funktion deren zu erwartende Bindungsaffinität bestimmen. So wird die Zahl der möglichen Wirkstoffkandidaten erheblich reduziert und kann mit kostenintensiveren biologischen Tests weiter reduziert werden.</w:t>
      </w:r>
    </w:p>
    <w:p>
      <w:pPr>
        <w:pStyle w:val="Berschrift4"/>
        <w:rPr/>
      </w:pPr>
      <w:r>
        <w:rPr/>
        <w:t>Datensätze als Grundlage</w:t>
      </w:r>
    </w:p>
    <w:p>
      <w:pPr>
        <w:pStyle w:val="Normal"/>
        <w:rPr/>
      </w:pPr>
      <w:r>
        <w:rPr/>
        <w:t xml:space="preserve">Die Grundlage des virtuellen Screenings sind riesige Datensätze mit Informationen zu der Interaktion von kleinen chemischen Verbindungen mit Proteinen </w:t>
      </w:r>
      <w:r>
        <w:rPr>
          <w:i/>
          <w:iCs/>
        </w:rPr>
        <w:t>(engl. compound-protein interaction; CPI)</w:t>
      </w:r>
      <w:r>
        <w:rPr/>
        <w:t xml:space="preserve">. Solche Informationen sind bereits in diversen Moleküldatenbänken, wie ChEMBL, DrugBank oder PDBbind gesammelt </w:t>
      </w:r>
      <w:r>
        <w:fldChar w:fldCharType="begin"/>
      </w:r>
      <w:r>
        <w:rPr/>
        <w:instrText>ADDIN CSL_CITATION {"citationItems":[{"id":"ITEM-1","itemData":{"DOI":"10.1093/nar/gky1075","ISSN":"13624962","PMID":"30398643","abstract":"ChEMBL is a large, open-access bioactivity database (https://www.ebi.ac.uk/chembl), previously described in the 2012, 2014 and 2017 Nucleic Acids Research Database Issues. In the last two years, several important improvements have been made to the database and are described here. These include more robust capture and representation of assay details; a new data deposition system, allowing updating of data sets and deposition of supplementary data; and a completely redesignedweb interface, with enhanced search and filtering capabilities.","author":[{"dropping-particle":"","family":"Mendez","given":"David","non-dropping-particle":"","parse-names":false,"suffix":""},{"dropping-particle":"","family":"Gaulton","given":"Anna","non-dropping-particle":"","parse-names":false,"suffix":""},{"dropping-particle":"","family":"Bento","given":"A. Patrícia","non-dropping-particle":"","parse-names":false,"suffix":""},{"dropping-particle":"","family":"Chambers","given":"Jon","non-dropping-particle":"","parse-names":false,"suffix":""},{"dropping-particle":"","family":"Veij","given":"Marleen","non-dropping-particle":"De","parse-names":false,"suffix":""},{"dropping-particle":"","family":"Félix","given":"Eloy","non-dropping-particle":"","parse-names":false,"suffix":""},{"dropping-particle":"","family":"Magariños","given":"María Paula","non-dropping-particle":"","parse-names":false,"suffix":""},{"dropping-particle":"","family":"Mosquera","given":"Juan F.","non-dropping-particle":"","parse-names":false,"suffix":""},{"dropping-particle":"","family":"Mutowo","given":"Prudence","non-dropping-particle":"","parse-names":false,"suffix":""},{"dropping-particle":"","family":"Nowotka","given":"Michał","non-dropping-particle":"","parse-names":false,"suffix":""},{"dropping-particle":"","family":"Gordillo-Marañón","given":"María","non-dropping-particle":"","parse-names":false,"suffix":""},{"dropping-particle":"","family":"Hunter","given":"Fiona","non-dropping-particle":"","parse-names":false,"suffix":""},{"dropping-particle":"","family":"Junco","given":"Laura","non-dropping-particle":"","parse-names":false,"suffix":""},{"dropping-particle":"","family":"Mugumbate","given":"Grace","non-dropping-particle":"","parse-names":false,"suffix":""},{"dropping-particle":"","family":"Rodriguez-Lopez","given":"Milagros","non-dropping-particle":"","parse-names":false,"suffix":""},{"dropping-particle":"","family":"Atkinson","given":"Francis","non-dropping-particle":"","parse-names":false,"suffix":""},{"dropping-particle":"","family":"Bosc","given":"Nicolas","non-dropping-particle":"","parse-names":false,"suffix":""},{"dropping-particle":"","family":"Radoux","given":"Chris J.","non-dropping-particle":"","parse-names":false,"suffix":""},{"dropping-particle":"","family":"Segura-Cabrera","given":"Aldo","non-dropping-particle":"","parse-names":false,"suffix":""},{"dropping-particle":"","family":"Hersey","given":"Anne","non-dropping-particle":"","parse-names":false,"suffix":""},{"dropping-particle":"","family":"Leach","given":"Andrew R.","non-dropping-particle":"","parse-names":false,"suffix":""}],"container-title":"Nucleic Acids Research","id":"ITEM-1","issue":"D1","issued":{"date-parts":[["2019"]]},"page":"D930-D940","title":"ChEMBL: Towards direct deposition of bioassay data","type":"article-journal","volume":"47"},"uris":["http://www.mendeley.com/documents/?uuid=ebfa019a-14e9-4b72-9489-960d2f93aee8"]}],"mendeley":{"formattedCitation":"[22]","plainTextFormattedCitation":"[22]","previouslyFormattedCitation":"[22]"},"properties":{"noteIndex":0},"schema":"https://github.com/citation-style-language/schema/raw/master/csl-citation.json"}</w:instrText>
      </w:r>
      <w:r>
        <w:rPr/>
        <w:fldChar w:fldCharType="separate"/>
      </w:r>
      <w:bookmarkStart w:id="104" w:name="__Fieldmark__1250_2337847765"/>
      <w:r>
        <w:rPr/>
        <w:t>[</w:t>
      </w:r>
      <w:bookmarkStart w:id="105" w:name="__Fieldmark__2802_983630037"/>
      <w:r>
        <w:rPr/>
        <w:t>22]</w:t>
      </w:r>
      <w:r>
        <w:rPr/>
      </w:r>
      <w:r>
        <w:rPr/>
        <w:fldChar w:fldCharType="end"/>
      </w:r>
      <w:bookmarkEnd w:id="104"/>
      <w:bookmarkEnd w:id="105"/>
      <w:r>
        <w:rPr/>
        <w:t xml:space="preserve"> </w:t>
      </w:r>
      <w:r>
        <w:fldChar w:fldCharType="begin"/>
      </w:r>
      <w:r>
        <w:rPr/>
        <w:instrText>ADDIN CSL_CITATION {"citationItems":[{"id":"ITEM-1","itemData":{"DOI":"10.1093/nar/gkx1037","ISSN":"13624962","PMID":"29126136","abstract":"DrugBank (www.drugbank.ca) is a web-enabled database containing comprehensive molecular information about drugs, their mechanisms, their interactions and their targets. First described in 2006, DrugBank has continued to evolve over the past 12 years in response to marked improvements to web standards and changing needs for drug research and development. This year's update, DrugBank 5.0, represents the most significant upgrade to the database in more than 10 years. In many cases, existing data content has grown by 100% or more over the last update. For instance, the total number of investigational drugs in the database has grown by almost 300%, the number of drug-drug interactions has grown by nearly 600% and the number of SNP-associated drug effects has grown more than 3000%. Significant improvements have been made to the quantity, quality and consistency of drug indications, drug binding data as well as drug-drug and drug-food interactions. A great deal of brand new data have also been added to DrugBank 5.0. This includes information on the influence of hundreds of drugs on metabolite levels (pharmacometabolomics), gene expression levels (pharmacotranscriptomics) and protein expression levels (pharmacoprotoemics). New data have also been added on the status of hundreds of new drug clinical trials and existing drug repurposing trials. Many other important improvements in the content, interface and performance of the DrugBank website have been made and these should greatly enhance its ease of use, utility and potential applications in many areas of pharmacological research, pharmaceutical science and drug education.","author":[{"dropping-particle":"","family":"Wishart","given":"David S.","non-dropping-particle":"","parse-names":false,"suffix":""},{"dropping-particle":"","family":"Feunang","given":"Yannick D.","non-dropping-particle":"","parse-names":false,"suffix":""},{"dropping-particle":"","family":"Guo","given":"An C.","non-dropping-particle":"","parse-names":false,"suffix":""},{"dropping-particle":"","family":"Lo","given":"Elvis J.","non-dropping-particle":"","parse-names":false,"suffix":""},{"dropping-particle":"","family":"Marcu","given":"Ana","non-dropping-particle":"","parse-names":false,"suffix":""},{"dropping-particle":"","family":"Grant","given":"Jason R.","non-dropping-particle":"","parse-names":false,"suffix":""},{"dropping-particle":"","family":"Sajed","given":"Tanvir","non-dropping-particle":"","parse-names":false,"suffix":""},{"dropping-particle":"","family":"Johnson","given":"Daniel","non-dropping-particle":"","parse-names":false,"suffix":""},{"dropping-particle":"","family":"Li","given":"Carin","non-dropping-particle":"","parse-names":false,"suffix":""},{"dropping-particle":"","family":"Sayeeda","given":"Zinat","non-dropping-particle":"","parse-names":false,"suffix":""},{"dropping-particle":"","family":"Assempour","given":"Nazanin","non-dropping-particle":"","parse-names":false,"suffix":""},{"dropping-particle":"","family":"Iynkkaran","given":"Ithayavani","non-dropping-particle":"","parse-names":false,"suffix":""},{"dropping-particle":"","family":"Liu","given":"Yifeng","non-dropping-particle":"","parse-names":false,"suffix":""},{"dropping-particle":"","family":"MacIejewski","given":"Adam","non-dropping-particle":"","parse-names":false,"suffix":""},{"dropping-particle":"","family":"Gale","given":"Nicola","non-dropping-particle":"","parse-names":false,"suffix":""},{"dropping-particle":"","family":"Wilson","given":"Alex","non-dropping-particle":"","parse-names":false,"suffix":""},{"dropping-particle":"","family":"Chin","given":"Lucy","non-dropping-particle":"","parse-names":false,"suffix":""},{"dropping-particle":"","family":"Cummings","given":"Ryan","non-dropping-particle":"","parse-names":false,"suffix":""},{"dropping-particle":"","family":"Le","given":"DIana","non-dropping-particle":"","parse-names":false,"suffix":""},{"dropping-particle":"","family":"Pon","given":"Allison","non-dropping-particle":"","parse-names":false,"suffix":""},{"dropping-particle":"","family":"Knox","given":"Craig","non-dropping-particle":"","parse-names":false,"suffix":""},{"dropping-particle":"","family":"Wilson","given":"Michael","non-dropping-particle":"","parse-names":false,"suffix":""}],"container-title":"Nucleic Acids Research","id":"ITEM-1","issue":"D1","issued":{"date-parts":[["2018"]]},"page":"D1074-D1082","publisher":"Oxford University Press","title":"DrugBank 5.0: A major update to the DrugBank database for 2018","type":"article-journal","volume":"46"},"uris":["http://www.mendeley.com/documents/?uuid=0444a959-3897-4d5c-9d3e-7fb876475b83"]}],"mendeley":{"formattedCitation":"[23]","plainTextFormattedCitation":"[23]","previouslyFormattedCitation":"[23]"},"properties":{"noteIndex":0},"schema":"https://github.com/citation-style-language/schema/raw/master/csl-citation.json"}</w:instrText>
      </w:r>
      <w:r>
        <w:rPr/>
        <w:fldChar w:fldCharType="separate"/>
      </w:r>
      <w:bookmarkStart w:id="106" w:name="__Fieldmark__1257_2337847765"/>
      <w:r>
        <w:rPr/>
        <w:t>[</w:t>
      </w:r>
      <w:bookmarkStart w:id="107" w:name="__Fieldmark__2807_983630037"/>
      <w:r>
        <w:rPr/>
        <w:t>23]</w:t>
      </w:r>
      <w:r>
        <w:rPr/>
      </w:r>
      <w:r>
        <w:rPr/>
        <w:fldChar w:fldCharType="end"/>
      </w:r>
      <w:bookmarkEnd w:id="106"/>
      <w:bookmarkEnd w:id="107"/>
      <w:r>
        <w:rPr/>
        <w:t xml:space="preserve"> </w:t>
      </w:r>
      <w:r>
        <w:fldChar w:fldCharType="begin"/>
      </w:r>
      <w:r>
        <w:rPr/>
        <w:instrText>ADDIN CSL_CITATION {"citationItems":[{"id":"ITEM-1","itemData":{"DOI":"10.1021/jm048957q","ISSN":"00222623","PMID":"15943484","abstract":"We have developed the PDBbind database to provide a comprehensive collection of binding affinities for the protein-ligand complexes in the Protein Data Bank (PDB). This paper gives a full description of the latest version, i.e., version 2003, which is an update to our recently reported work. Out of 23 790 entries in the PDB release No.107 (January 2004), 5897 entries were identified as protein-ligand complexes that meet our definition. Experimentally determined binding affinities (Kd, Ki, and IC 50) for 1622 of these were retrieved from the references associated with these complexes. A total of 900 complexes were selected to form a \"refined set\", which is of particular value as a standard data set for docking and scoring studies. All of the final data, including binding affinity data, reference citations, and processed structural files, have been incorporated into the PDBbind database accessible on-line at http://www.pdbbind.org/. © 2005 American Chemical Society.","author":[{"dropping-particle":"","family":"Wang","given":"Renxiao","non-dropping-particle":"","parse-names":false,"suffix":""},{"dropping-particle":"","family":"Fang","given":"Xueliang","non-dropping-particle":"","parse-names":false,"suffix":""},{"dropping-particle":"","family":"Lu","given":"Yipin","non-dropping-particle":"","parse-names":false,"suffix":""},{"dropping-particle":"","family":"Yang","given":"Chao Yie","non-dropping-particle":"","parse-names":false,"suffix":""},{"dropping-particle":"","family":"Wang","given":"Shaomeng","non-dropping-particle":"","parse-names":false,"suffix":""}],"container-title":"Journal of Medicinal Chemistry","id":"ITEM-1","issue":"12","issued":{"date-parts":[["2005"]]},"page":"4111-4119","title":"The PDBbind database: Methodologies and updates","type":"article-journal","volume":"48"},"uris":["http://www.mendeley.com/documents/?uuid=6be96cb2-7b21-4787-95e4-e742c5a9fcb2"]}],"mendeley":{"formattedCitation":"[24]","plainTextFormattedCitation":"[24]","previouslyFormattedCitation":"[24]"},"properties":{"noteIndex":0},"schema":"https://github.com/citation-style-language/schema/raw/master/csl-citation.json"}</w:instrText>
      </w:r>
      <w:r>
        <w:rPr/>
        <w:fldChar w:fldCharType="separate"/>
      </w:r>
      <w:bookmarkStart w:id="108" w:name="__Fieldmark__1264_2337847765"/>
      <w:r>
        <w:rPr/>
        <w:t>[</w:t>
      </w:r>
      <w:bookmarkStart w:id="109" w:name="__Fieldmark__2812_983630037"/>
      <w:r>
        <w:rPr/>
        <w:t>24]</w:t>
      </w:r>
      <w:r>
        <w:rPr/>
      </w:r>
      <w:r>
        <w:rPr/>
        <w:fldChar w:fldCharType="end"/>
      </w:r>
      <w:bookmarkEnd w:id="108"/>
      <w:bookmarkEnd w:id="109"/>
      <w:r>
        <w:rPr/>
        <w:t xml:space="preserve">. Diese Daten haben ihren Ursprung in der riesigen Anzahl an wissenschaftlichen Arbeiten der letzten Jahre. 2018 wurden auf der gesamten Welt insgesamt ca. 2,5 Millionen neue wissenschaftliche Arbeiten publiziert </w:t>
      </w:r>
      <w:r>
        <w:fldChar w:fldCharType="begin"/>
      </w:r>
      <w:r>
        <w:rPr/>
        <w:instrText>ADDIN CSL_CITATION {"citationItems":[{"id":"ITEM-1","itemData":{"URL":"https://data.worldbank.org/indicator/IP.JRN.ARTC.SC?year_low_desc=true","accessed":{"date-parts":[["2021","3","4"]]},"id":"ITEM-1","issued":{"date-parts":[["0"]]},"title":"Scientific and technical journal articles","type":"webpage"},"uris":["http://www.mendeley.com/documents/?uuid=69526c9b-08cd-472e-8dee-00c3a1da4f9e"]}],"mendeley":{"formattedCitation":"[25]","plainTextFormattedCitation":"[25]","previouslyFormattedCitation":"[25]"},"properties":{"noteIndex":0},"schema":"https://github.com/citation-style-language/schema/raw/master/csl-citation.json"}</w:instrText>
      </w:r>
      <w:r>
        <w:rPr/>
        <w:fldChar w:fldCharType="separate"/>
      </w:r>
      <w:bookmarkStart w:id="110" w:name="__Fieldmark__1271_2337847765"/>
      <w:r>
        <w:rPr/>
        <w:t>[</w:t>
      </w:r>
      <w:bookmarkStart w:id="111" w:name="__Fieldmark__2829_983630037"/>
      <w:r>
        <w:rPr/>
        <w:t>25]</w:t>
      </w:r>
      <w:r>
        <w:rPr/>
      </w:r>
      <w:r>
        <w:rPr/>
        <w:fldChar w:fldCharType="end"/>
      </w:r>
      <w:bookmarkEnd w:id="110"/>
      <w:bookmarkEnd w:id="111"/>
      <w:r>
        <w:rPr/>
        <w:t>. Angesichts dieser riesigen und immer größer werdenden Zahl ist es mit einem sehr großen Aufwand verbunden, die aktuellen Daten aus den wissenschaftlichen Arbeiten in die Datenbänke zu integrieren.</w:t>
      </w:r>
    </w:p>
    <w:p>
      <w:pPr>
        <w:pStyle w:val="Berschrift4"/>
        <w:rPr/>
      </w:pPr>
      <w:r>
        <w:rPr/>
        <w:t xml:space="preserve">Einsatz von Text Mining und NLP </w:t>
      </w:r>
    </w:p>
    <w:p>
      <w:pPr>
        <w:pStyle w:val="Normal"/>
        <w:rPr/>
      </w:pPr>
      <w:r>
        <w:rPr/>
        <w:t xml:space="preserve">Der Begriff Text Mining beschreibt die Menge an Techniken zum automatischen Extrahieren von neuen, zuvor unbekannten Informationen aus unstrukturierten Texten </w:t>
      </w:r>
      <w:r>
        <w:fldChar w:fldCharType="begin"/>
      </w:r>
      <w:r>
        <w:rPr/>
        <w:instrText>ADDIN CSL_CITATION {"citationItems":[{"id":"ITEM-1","itemData":{"ISSN":"1545-5963","PMID":"17044165","author":[{"dropping-particle":"","family":"Witte","given":"Dr. René","non-dropping-particle":"","parse-names":false,"suffix":""},{"dropping-particle":"","family":"Mülle","given":"Jutta","non-dropping-particle":"","parse-names":false,"suffix":""}],"container-title":"IEEE/ACM transactions on computational biology and bioinformatics / IEEE, ACM","id":"ITEM-1","issued":{"date-parts":[["2005"]]},"number-of-pages":"42f","title":"Text Mining: Wissensgewinnung aus natürlichsprachigen Dokumenten","type":"report"},"uris":["http://www.mendeley.com/documents/?uuid=fed726ac-efca-4721-8a3d-8d117c4aeea6"]}],"mendeley":{"formattedCitation":"[26]","plainTextFormattedCitation":"[26]","previouslyFormattedCitation":"[26]"},"properties":{"noteIndex":0},"schema":"https://github.com/citation-style-language/schema/raw/master/csl-citation.json"}</w:instrText>
      </w:r>
      <w:r>
        <w:rPr/>
        <w:fldChar w:fldCharType="separate"/>
      </w:r>
      <w:bookmarkStart w:id="112" w:name="__Fieldmark__1280_2337847765"/>
      <w:r>
        <w:rPr/>
        <w:t>[</w:t>
      </w:r>
      <w:bookmarkStart w:id="113" w:name="__Fieldmark__2853_983630037"/>
      <w:r>
        <w:rPr/>
        <w:t>26]</w:t>
      </w:r>
      <w:r>
        <w:rPr/>
      </w:r>
      <w:r>
        <w:rPr/>
        <w:fldChar w:fldCharType="end"/>
      </w:r>
      <w:bookmarkEnd w:id="112"/>
      <w:bookmarkEnd w:id="113"/>
      <w:r>
        <w:rPr/>
        <w:t xml:space="preserve">. Diese Techniken verwenden häufig auf maschinellem Lernen basierende Algorithmen. In diesem Zusammenhang fällt auch der Begriff der Computerlinguistik </w:t>
      </w:r>
      <w:r>
        <w:rPr>
          <w:i/>
          <w:iCs/>
        </w:rPr>
        <w:t>(engl. natural language processing; NLP)</w:t>
      </w:r>
      <w:r>
        <w:rPr/>
        <w:t xml:space="preserve">. Er bezeichnet die Verarbeitung der natürlichen Sprache mit einem Computer. Bei NLP wird die Sprache zuerst in kleine sprachlich relevante Einheiten (Token) zerlegt, bevor mit Analysen der Morphologie, Syntax und Semantik die Sprache für die Maschine zunehmend erfassbarer wird </w:t>
      </w:r>
      <w:r>
        <w:fldChar w:fldCharType="begin"/>
      </w:r>
      <w:r>
        <w:rPr/>
        <w:instrText>ADDIN CSL_CITATION {"citationItems":[{"id":"ITEM-1","itemData":{"ISSN":"1545-5963","PMID":"17044165","author":[{"dropping-particle":"","family":"Witte","given":"Dr. René","non-dropping-particle":"","parse-names":false,"suffix":""},{"dropping-particle":"","family":"Mülle","given":"Jutta","non-dropping-particle":"","parse-names":false,"suffix":""}],"container-title":"IEEE/ACM transactions on computational biology and bioinformatics / IEEE, ACM","id":"ITEM-1","issued":{"date-parts":[["2005"]]},"number-of-pages":"42f","title":"Text Mining: Wissensgewinnung aus natürlichsprachigen Dokumenten","type":"report"},"uris":["http://www.mendeley.com/documents/?uuid=fed726ac-efca-4721-8a3d-8d117c4aeea6"]}],"mendeley":{"formattedCitation":"[26]","plainTextFormattedCitation":"[26]","previouslyFormattedCitation":"[26]"},"properties":{"noteIndex":0},"schema":"https://github.com/citation-style-language/schema/raw/master/csl-citation.json"}</w:instrText>
      </w:r>
      <w:r>
        <w:rPr/>
        <w:fldChar w:fldCharType="separate"/>
      </w:r>
      <w:bookmarkStart w:id="114" w:name="__Fieldmark__1289_2337847765"/>
      <w:r>
        <w:rPr/>
        <w:t>[</w:t>
      </w:r>
      <w:bookmarkStart w:id="115" w:name="__Fieldmark__2879_983630037"/>
      <w:r>
        <w:rPr/>
        <w:t>26]</w:t>
      </w:r>
      <w:r>
        <w:rPr/>
      </w:r>
      <w:r>
        <w:rPr/>
        <w:fldChar w:fldCharType="end"/>
      </w:r>
      <w:bookmarkEnd w:id="114"/>
      <w:bookmarkEnd w:id="115"/>
      <w:r>
        <w:rPr/>
        <w:t>.</w:t>
      </w:r>
    </w:p>
    <w:p>
      <w:pPr>
        <w:pStyle w:val="Normal"/>
        <w:rPr>
          <w:b/>
          <w:b/>
          <w:bCs/>
        </w:rPr>
      </w:pPr>
      <w:r>
        <w:rPr>
          <w:b/>
          <w:bCs/>
        </w:rPr>
        <w:t xml:space="preserve">Die Kombination von Text Mining mit NLP stellt eine gute Möglichkeit dar, die für das virtuelle Screening benötigten Daten der CPI direkt aus wissenschaftlichen Arbeiten zu extrahieren. </w:t>
      </w:r>
    </w:p>
    <w:p>
      <w:pPr>
        <w:pStyle w:val="Normal"/>
        <w:rPr>
          <w:b/>
          <w:b/>
          <w:bCs/>
        </w:rPr>
      </w:pPr>
      <w:r>
        <w:rPr/>
        <w:t xml:space="preserve">In dieser Arbeit werden zwei auf maschinellem Lernen basierende Methoden zum Text Mining von CPI verglichen. In </w:t>
      </w:r>
      <w:r>
        <w:rPr/>
        <w:fldChar w:fldCharType="begin"/>
      </w:r>
      <w:r>
        <w:rPr/>
        <w:instrText> REF _Ref66154697 \r \h </w:instrText>
      </w:r>
      <w:r>
        <w:rPr/>
        <w:fldChar w:fldCharType="separate"/>
      </w:r>
      <w:r>
        <w:rPr/>
        <w:t>1.3</w:t>
      </w:r>
      <w:r>
        <w:rPr/>
        <w:fldChar w:fldCharType="end"/>
      </w:r>
      <w:r>
        <w:rPr/>
        <w:t xml:space="preserve"> befindet sich ein Überblick über die Entwicklung von CPI Text Mining in der Wissenschaft.   </w:t>
      </w:r>
      <w:r>
        <w:rPr>
          <w:b/>
          <w:bCs/>
        </w:rPr>
        <w:t xml:space="preserve"> </w:t>
      </w:r>
    </w:p>
    <w:p>
      <w:pPr>
        <w:pStyle w:val="Normal"/>
        <w:rPr>
          <w:b/>
          <w:b/>
          <w:bCs/>
        </w:rPr>
      </w:pPr>
      <w:r>
        <w:rPr>
          <w:b/>
          <w:bCs/>
        </w:rPr>
      </w:r>
    </w:p>
    <w:p>
      <w:pPr>
        <w:pStyle w:val="Berschrift2"/>
        <w:numPr>
          <w:ilvl w:val="1"/>
          <w:numId w:val="2"/>
        </w:numPr>
        <w:rPr/>
      </w:pPr>
      <w:bookmarkStart w:id="116" w:name="_Toc66477598"/>
      <w:bookmarkStart w:id="117" w:name="_Toc66981156"/>
      <w:bookmarkStart w:id="118" w:name="_Ref66154697"/>
      <w:r>
        <w:rPr/>
        <w:t>CPI Text Mining</w:t>
      </w:r>
      <w:bookmarkEnd w:id="116"/>
      <w:bookmarkEnd w:id="117"/>
      <w:bookmarkEnd w:id="118"/>
      <w:r>
        <w:rPr/>
        <w:t xml:space="preserve"> </w:t>
      </w:r>
    </w:p>
    <w:p>
      <w:pPr>
        <w:pStyle w:val="Normal"/>
        <w:rPr/>
      </w:pPr>
      <w:r>
        <w:rPr/>
        <w:t xml:space="preserve">Im CPI Text Mining geht es, wie in </w:t>
      </w:r>
      <w:r>
        <w:rPr/>
        <w:fldChar w:fldCharType="begin"/>
      </w:r>
      <w:r>
        <w:rPr/>
        <w:instrText> REF _Ref66208620 \r \h </w:instrText>
      </w:r>
      <w:r>
        <w:rPr/>
        <w:fldChar w:fldCharType="separate"/>
      </w:r>
      <w:r>
        <w:rPr/>
        <w:t>1.2</w:t>
      </w:r>
      <w:r>
        <w:rPr/>
        <w:fldChar w:fldCharType="end"/>
      </w:r>
      <w:r>
        <w:rPr/>
        <w:t xml:space="preserve"> beschrieben, um die Extraktion der Informationen zu einer möglichen Interaktion zwischen einer kleinen chemischen Verbindung und einem Protein aus wissenschaftlichen Arbeiten. Die interessante Information ist dabei, ob in dem Satz eine funktionale Beziehung des CPI-Paars beschrieben wird oder nicht (siehe </w:t>
      </w:r>
      <w:r>
        <w:rPr/>
        <w:fldChar w:fldCharType="begin"/>
      </w:r>
      <w:r>
        <w:rPr/>
        <w:instrText> REF _Ref66225306 \h </w:instrText>
      </w:r>
      <w:r>
        <w:rPr/>
        <w:fldChar w:fldCharType="separate"/>
      </w:r>
      <w:r>
        <w:rPr/>
        <w:t>Abbildung 9</w:t>
      </w:r>
      <w:r>
        <w:rPr/>
        <w:fldChar w:fldCharType="end"/>
      </w:r>
      <w:r>
        <w:rPr/>
        <w:t>).</w:t>
      </w:r>
    </w:p>
    <w:p>
      <w:pPr>
        <w:pStyle w:val="Abbildung"/>
        <w:rPr/>
      </w:pPr>
      <w:r>
        <w:rPr/>
        <w:drawing>
          <wp:inline distT="0" distB="0" distL="0" distR="0">
            <wp:extent cx="4749800" cy="2438400"/>
            <wp:effectExtent l="0" t="0" r="0" b="0"/>
            <wp:docPr id="11"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9" descr=""/>
                    <pic:cNvPicPr>
                      <a:picLocks noChangeAspect="1" noChangeArrowheads="1"/>
                    </pic:cNvPicPr>
                  </pic:nvPicPr>
                  <pic:blipFill>
                    <a:blip r:embed="rId14"/>
                    <a:srcRect l="6536" t="9455" r="10592" b="33825"/>
                    <a:stretch>
                      <a:fillRect/>
                    </a:stretch>
                  </pic:blipFill>
                  <pic:spPr bwMode="auto">
                    <a:xfrm>
                      <a:off x="0" y="0"/>
                      <a:ext cx="4749800" cy="2438400"/>
                    </a:xfrm>
                    <a:prstGeom prst="rect">
                      <a:avLst/>
                    </a:prstGeom>
                  </pic:spPr>
                </pic:pic>
              </a:graphicData>
            </a:graphic>
          </wp:inline>
        </w:drawing>
      </w:r>
    </w:p>
    <w:p>
      <w:pPr>
        <w:pStyle w:val="Caption"/>
        <w:jc w:val="both"/>
        <w:rPr/>
      </w:pPr>
      <w:bookmarkStart w:id="119" w:name="_Ref66225306"/>
      <w:r>
        <w:rPr>
          <w:b/>
          <w:bCs/>
        </w:rPr>
        <w:t xml:space="preserve">Abbildung </w:t>
      </w:r>
      <w:r>
        <w:rPr>
          <w:b/>
          <w:bCs/>
        </w:rPr>
        <w:fldChar w:fldCharType="begin"/>
      </w:r>
      <w:r>
        <w:rPr>
          <w:b/>
          <w:bCs/>
        </w:rPr>
        <w:instrText> SEQ Abbildung \* ARABIC </w:instrText>
      </w:r>
      <w:r>
        <w:rPr>
          <w:b/>
          <w:bCs/>
        </w:rPr>
        <w:fldChar w:fldCharType="separate"/>
      </w:r>
      <w:r>
        <w:rPr>
          <w:b/>
          <w:bCs/>
        </w:rPr>
        <w:t>9</w:t>
      </w:r>
      <w:r>
        <w:rPr>
          <w:b/>
          <w:bCs/>
        </w:rPr>
        <w:fldChar w:fldCharType="end"/>
      </w:r>
      <w:bookmarkEnd w:id="119"/>
      <w:r>
        <w:rPr>
          <w:b/>
          <w:bCs/>
        </w:rPr>
        <w:t>:</w:t>
      </w:r>
      <w:r>
        <w:rPr/>
        <w:t xml:space="preserve"> Beispielsätze mit CPI-Paaren aus wissenschaftlichen Arbeiten. Die vorhandenen Proteine sind mit blau und die kleinen chemischen Verbindungen mit rot hinterlegt. </w:t>
      </w:r>
      <w:r>
        <w:rPr>
          <w:b/>
          <w:bCs/>
        </w:rPr>
        <w:t>(1)</w:t>
      </w:r>
      <w:r>
        <w:rPr/>
        <w:t xml:space="preserve"> Beispielsatz: Hier besteht eine funktionale Beziehung (d.h. Interaktion) zwischen dem Protein „insulin“ und der Verbindung „dithiothritol“. </w:t>
      </w:r>
      <w:r>
        <w:rPr>
          <w:b/>
          <w:bCs/>
        </w:rPr>
        <w:t>(2)</w:t>
      </w:r>
      <w:r>
        <w:rPr/>
        <w:t xml:space="preserve"> Beispielsatz mit zwei CPI-Paaren. In beiden besteht keine funktionale Beziehung zwischen dem Protein „BDNF“ und den beiden Verbindungen „MHPG“ und „HVA“.</w:t>
      </w:r>
    </w:p>
    <w:p>
      <w:pPr>
        <w:pStyle w:val="Normal"/>
        <w:rPr/>
      </w:pPr>
      <w:r>
        <w:rPr/>
      </w:r>
    </w:p>
    <w:p>
      <w:pPr>
        <w:pStyle w:val="Normal"/>
        <w:rPr/>
      </w:pPr>
      <w:r>
        <w:rPr/>
        <w:t xml:space="preserve">Bei dem CPI Text Mining handelt es sich um eine konkrete Anwendung von allgemeinem Beziehungs Text Mining </w:t>
      </w:r>
      <w:r>
        <w:rPr>
          <w:i/>
          <w:iCs/>
        </w:rPr>
        <w:t>(engl. relation extraction; RE).</w:t>
      </w:r>
      <w:r>
        <w:rPr/>
        <w:t xml:space="preserve"> Weitere mögliche extrahierte Beziehungen sind z.B. Protein-Protein Interaktionen </w:t>
      </w:r>
      <w:r>
        <w:rPr>
          <w:i/>
          <w:iCs/>
        </w:rPr>
        <w:t>(engl. protein-protein interactions)</w:t>
      </w:r>
      <w:r>
        <w:rPr/>
        <w:t xml:space="preserve">, Gen-Krankheit Zusammenhänge </w:t>
      </w:r>
      <w:r>
        <w:rPr>
          <w:i/>
          <w:iCs/>
        </w:rPr>
        <w:t>(engl. gene-disease associations)</w:t>
      </w:r>
      <w:r>
        <w:rPr/>
        <w:t xml:space="preserve"> und chemische Verbindungen</w:t>
        <w:noBreakHyphen/>
        <w:t xml:space="preserve">Gen Interaktionen </w:t>
      </w:r>
      <w:r>
        <w:rPr>
          <w:i/>
          <w:iCs/>
        </w:rPr>
        <w:t>(engl. compound-gene interaction).</w:t>
      </w:r>
      <w:r>
        <w:rPr/>
        <w:t xml:space="preserve"> Allgemein werden die einzelnen Objekte (Protein, Gen, Krankheit und chemische Verbindungen) auch als Entitäten bezeichnet. Wenn in einer wissenschaftlichen Arbeit ein Modell zu einer konkreten RE Aufgabe publiziert wird, lässt sich dieses mit kleinen Adaptionen auf weitere Beziehungen anwenden. Bei den auf maschinelles Lernen basierenden Modellen muss auf jeden Fall ein neuer passender Trainingsdatensatz für das Modell vorhanden sein.</w:t>
      </w:r>
    </w:p>
    <w:p>
      <w:pPr>
        <w:pStyle w:val="Normal"/>
        <w:rPr/>
      </w:pPr>
      <w:r>
        <w:rPr/>
      </w:r>
    </w:p>
    <w:p>
      <w:pPr>
        <w:pStyle w:val="Normal"/>
        <w:rPr/>
      </w:pPr>
      <w:r>
        <w:rPr/>
        <w:t xml:space="preserve"> </w:t>
      </w:r>
    </w:p>
    <w:p>
      <w:pPr>
        <w:pStyle w:val="Berschrift3"/>
        <w:numPr>
          <w:ilvl w:val="2"/>
          <w:numId w:val="2"/>
        </w:numPr>
        <w:rPr/>
      </w:pPr>
      <w:bookmarkStart w:id="120" w:name="_Toc66981157"/>
      <w:bookmarkStart w:id="121" w:name="_Toc66477599"/>
      <w:r>
        <w:rPr/>
        <w:t>Historie von RE Text Mining mit Blick auf CPI Text Mining</w:t>
      </w:r>
      <w:bookmarkEnd w:id="120"/>
      <w:bookmarkEnd w:id="121"/>
      <w:r>
        <w:rPr/>
        <w:t xml:space="preserve"> </w:t>
      </w:r>
    </w:p>
    <w:p>
      <w:pPr>
        <w:pStyle w:val="Normal"/>
        <w:rPr>
          <w:b/>
          <w:b/>
          <w:bCs/>
        </w:rPr>
      </w:pPr>
      <w:r>
        <w:rPr/>
        <w:t xml:space="preserve">Zum RE aus der Literatur gibt es grundlegend verschiedene Ansätze. Im Folgenden wird ein Überblick über verschiedene Publikationen für RE geliefert.  </w:t>
      </w:r>
    </w:p>
    <w:p>
      <w:pPr>
        <w:pStyle w:val="Normal"/>
        <w:rPr/>
      </w:pPr>
      <w:r>
        <w:rPr/>
        <w:t xml:space="preserve">Die Basis für die ersten Arbeiten ist die Kookkurrenz, bei der sobald zwei Entitäten gemeinsam in einem Abschnitt des Textes (z.B. ein Satz) vorkommen, eine Interaktion zwischen diesen angenommen wird </w:t>
      </w:r>
      <w:r>
        <w:fldChar w:fldCharType="begin"/>
      </w:r>
      <w:r>
        <w:rPr/>
        <w:instrText>ADDIN CSL_CITATION {"citationItems":[{"id":"ITEM-1","itemData":{"author":[{"dropping-particle":"","family":"Jenssen","given":"Tor-kristian","non-dropping-particle":"","parse-names":false,"suffix":""},{"dropping-particle":"","family":"Komorowski","given":"Jan","non-dropping-particle":"","parse-names":false,"suffix":""},{"dropping-particle":"","family":"Hovig","given":"Eivind","non-dropping-particle":"","parse-names":false,"suffix":""}],"id":"ITEM-1","issue":"may","issued":{"date-parts":[["2001"]]},"page":"21-28","title":"A literature network of human genes for high-throughput analysis of gene","type":"article-journal","volume":"28"},"uris":["http://www.mendeley.com/documents/?uuid=b3d440a9-07f6-4c96-bafc-f59b72efa965"]}],"mendeley":{"formattedCitation":"[27]","plainTextFormattedCitation":"[27]","previouslyFormattedCitation":"[27]"},"properties":{"noteIndex":0},"schema":"https://github.com/citation-style-language/schema/raw/master/csl-citation.json"}</w:instrText>
      </w:r>
      <w:r>
        <w:rPr/>
        <w:fldChar w:fldCharType="separate"/>
      </w:r>
      <w:bookmarkStart w:id="122" w:name="__Fieldmark__1350_2337847765"/>
      <w:r>
        <w:rPr/>
        <w:t>[</w:t>
      </w:r>
      <w:bookmarkStart w:id="123" w:name="__Fieldmark__3037_983630037"/>
      <w:r>
        <w:rPr/>
        <w:t>27]</w:t>
      </w:r>
      <w:r>
        <w:rPr/>
      </w:r>
      <w:r>
        <w:rPr/>
        <w:fldChar w:fldCharType="end"/>
      </w:r>
      <w:bookmarkEnd w:id="122"/>
      <w:bookmarkEnd w:id="123"/>
      <w:r>
        <w:rPr/>
        <w:t xml:space="preserve">. Die Präzision kann durch die zusätzliche Anwesenheit eines Interaktionswortes zwischen dem Entitäten-Paar </w:t>
      </w:r>
      <w:r>
        <w:fldChar w:fldCharType="begin"/>
      </w:r>
      <w:r>
        <w:rPr/>
        <w:instrText>ADDIN CSL_CITATION {"citationItems":[{"id":"ITEM-1","itemData":{"DOI":"10.1186/1471-2105-10-233","ISBN":"1471210510","author":[{"dropping-particle":"","family":"Kabiljo","given":"Renata","non-dropping-particle":"","parse-names":false,"suffix":""},{"dropping-particle":"","family":"Clegg","given":"Andrew B","non-dropping-particle":"","parse-names":false,"suffix":""},{"dropping-particle":"","family":"Shepherd","given":"Adrian J","non-dropping-particle":"","parse-names":false,"suffix":""}],"id":"ITEM-1","issued":{"date-parts":[["2009"]]},"page":"1-12","title":"A realistic assessment of methods for extracting gene / protein interactions from free text","type":"article-journal","volume":"12"},"uris":["http://www.mendeley.com/documents/?uuid=fa69484c-3adb-478f-8f56-fcd7a3199c04"]}],"mendeley":{"formattedCitation":"[28]","plainTextFormattedCitation":"[28]","previouslyFormattedCitation":"[28]"},"properties":{"noteIndex":0},"schema":"https://github.com/citation-style-language/schema/raw/master/csl-citation.json"}</w:instrText>
      </w:r>
      <w:r>
        <w:rPr/>
        <w:fldChar w:fldCharType="separate"/>
      </w:r>
      <w:bookmarkStart w:id="124" w:name="__Fieldmark__1357_2337847765"/>
      <w:r>
        <w:rPr/>
        <w:t>[</w:t>
      </w:r>
      <w:bookmarkStart w:id="125" w:name="__Fieldmark__3046_983630037"/>
      <w:r>
        <w:rPr/>
        <w:t>28]</w:t>
      </w:r>
      <w:r>
        <w:rPr/>
      </w:r>
      <w:r>
        <w:rPr/>
        <w:fldChar w:fldCharType="end"/>
      </w:r>
      <w:bookmarkEnd w:id="124"/>
      <w:bookmarkEnd w:id="125"/>
      <w:r>
        <w:rPr/>
        <w:t>, oder dem Abgleich mit lexikalisch</w:t>
        <w:noBreakHyphen/>
        <w:t xml:space="preserve">syntaktischen Mustern </w:t>
      </w:r>
      <w:r>
        <w:fldChar w:fldCharType="begin"/>
      </w:r>
      <w:r>
        <w:rPr/>
        <w:instrText>ADDIN CSL_CITATION {"citationItems":[{"id":"ITEM-1","itemData":{"DOI":"10.1186/gb-2008-9-S2-S13","author":[{"dropping-particle":"","family":"Rinaldi","given":"Fabio","non-dropping-particle":"","parse-names":false,"suffix":""},{"dropping-particle":"","family":"Kappeler","given":"Thomas","non-dropping-particle":"","parse-names":false,"suffix":""},{"dropping-particle":"","family":"Kaljurand","given":"Kaarel","non-dropping-particle":"","parse-names":false,"suffix":""},{"dropping-particle":"","family":"Schneider","given":"Gerold","non-dropping-particle":"","parse-names":false,"suffix":""},{"dropping-particle":"","family":"Klenner","given":"Manfred","non-dropping-particle":"","parse-names":false,"suffix":""},{"dropping-particle":"","family":"Clematide","given":"Simon","non-dropping-particle":"","parse-names":false,"suffix":""},{"dropping-particle":"","family":"Hess","given":"Michael","non-dropping-particle":"","parse-names":false,"suffix":""},{"dropping-particle":"","family":"Parisot","given":"Pierre","non-dropping-particle":"","parse-names":false,"suffix":""},{"dropping-particle":"","family":"Romacker","given":"Martin","non-dropping-particle":"","parse-names":false,"suffix":""},{"dropping-particle":"","family":"Vachon","given":"Therese","non-dropping-particle":"","parse-names":false,"suffix":""}],"id":"ITEM-1","issue":"Suppl 2","issued":{"date-parts":[["2008"]]},"page":"1-11","title":"Open Access OntoGene in BioCreative II","type":"article-journal","volume":"9"},"uris":["http://www.mendeley.com/documents/?uuid=54eacca1-da69-47fd-a257-cc50698ef60b"]}],"mendeley":{"formattedCitation":"[29]","plainTextFormattedCitation":"[29]","previouslyFormattedCitation":"[29]"},"properties":{"noteIndex":0},"schema":"https://github.com/citation-style-language/schema/raw/master/csl-citation.json"}</w:instrText>
      </w:r>
      <w:r>
        <w:rPr/>
        <w:fldChar w:fldCharType="separate"/>
      </w:r>
      <w:bookmarkStart w:id="126" w:name="__Fieldmark__1366_2337847765"/>
      <w:r>
        <w:rPr/>
        <w:t>[</w:t>
      </w:r>
      <w:bookmarkStart w:id="127" w:name="__Fieldmark__3060_983630037"/>
      <w:r>
        <w:rPr/>
        <w:t>29]</w:t>
      </w:r>
      <w:r>
        <w:rPr/>
      </w:r>
      <w:r>
        <w:rPr/>
        <w:fldChar w:fldCharType="end"/>
      </w:r>
      <w:bookmarkEnd w:id="126"/>
      <w:bookmarkEnd w:id="127"/>
      <w:r>
        <w:rPr/>
        <w:t xml:space="preserve"> verbessert werden. </w:t>
      </w:r>
    </w:p>
    <w:p>
      <w:pPr>
        <w:pStyle w:val="Normal"/>
        <w:rPr/>
      </w:pPr>
      <w:r>
        <w:rPr/>
        <w:t>Ein weiterer Ansatz ist, unter Verwendung von NLP die Entitäten</w:t>
        <w:noBreakHyphen/>
        <w:t xml:space="preserve">Paare anhand von selbst definierten Regeln in den Sätzen zu identifizieren. Diese Regeln werden von typischen Mustern der Entitäten-Paare in der Literatur abgeleitet. Die Muster können hierfür entweder manuell </w:t>
      </w:r>
      <w:r>
        <w:fldChar w:fldCharType="begin"/>
      </w:r>
      <w:r>
        <w:rPr/>
        <w:instrText>ADDIN CSL_CITATION {"citationItems":[{"id":"ITEM-1","itemData":{"DOI":"10.1093/bioinformatics/btg279","ISSN":"13674803","PMID":"14594709","abstract":"Motivation: As research into disease pathology and cellular function continues to generate vast amounts of data pertaining to protein, gene and small molecule (PGSM) interactions, there exists a critical need to capture these results in structured formats allowing for computational analysis. Although many efforts have been made to create databases that store this information in computer readable form, populating these sources largely requires a manual process of interpreting and extracting interaction relationships from the biological research literature. Being able to efficiently and accurately automate the extraction of interactions from unstructured text, would greatly improve the content of these databases and provide a method for managing the continued growth of new literature being published. Results: In this paper, we describe a system for extracting PGSM interactions from unstructured text. By utilizing a lexical analyzer and context free grammar (CFG), we demonstrate that efficient parsers can be constructed for extracting these relationships from natural language with high rates of recall and precision. Our results show that this technique achieved a recall rate of 83.5% and a precision rate of 93.1% for recognizing PGSM names and a recall rate of 63.9% and a precision rate of 70.2% for extracting interactions between these entities. In contrast to other published techniques, the use of a CFG significantly reduces the complexities of natural language processing by focusing on domain specific structure as opposed to analyzing the semantics of a given language. Additionally, our approach provides a level of abstraction for adding new rules for extracting other types of biological relationships beyond PGSM relationships.","author":[{"dropping-particle":"","family":"Temkin","given":"Joshua M.","non-dropping-particle":"","parse-names":false,"suffix":""},{"dropping-particle":"","family":"Gilder","given":"Mark R.","non-dropping-particle":"","parse-names":false,"suffix":""}],"container-title":"Bioinformatics","id":"ITEM-1","issue":"16","issued":{"date-parts":[["2003"]]},"page":"2046-2053","title":"Extraction of protein interaction information from unstructured text using a context-free grammar","type":"article-journal","volume":"19"},"uris":["http://www.mendeley.com/documents/?uuid=c14e008d-d72f-416c-9642-98ab7ebf1a73"]}],"mendeley":{"formattedCitation":"[30]","plainTextFormattedCitation":"[30]","previouslyFormattedCitation":"[30]"},"properties":{"noteIndex":0},"schema":"https://github.com/citation-style-language/schema/raw/master/csl-citation.json"}</w:instrText>
      </w:r>
      <w:r>
        <w:rPr/>
        <w:fldChar w:fldCharType="separate"/>
      </w:r>
      <w:bookmarkStart w:id="128" w:name="__Fieldmark__1376_2337847765"/>
      <w:r>
        <w:rPr/>
        <w:t>[</w:t>
      </w:r>
      <w:bookmarkStart w:id="129" w:name="__Fieldmark__3088_983630037"/>
      <w:r>
        <w:rPr/>
        <w:t>30]</w:t>
      </w:r>
      <w:r>
        <w:rPr/>
      </w:r>
      <w:r>
        <w:rPr/>
        <w:fldChar w:fldCharType="end"/>
      </w:r>
      <w:bookmarkEnd w:id="128"/>
      <w:bookmarkEnd w:id="129"/>
      <w:r>
        <w:rPr/>
        <w:t xml:space="preserve"> oder automatisiert </w:t>
      </w:r>
      <w:r>
        <w:fldChar w:fldCharType="begin"/>
      </w:r>
      <w:r>
        <w:rPr/>
        <w:instrText>ADDIN CSL_CITATION {"citationItems":[{"id":"ITEM-1","itemData":{"DOI":"10.1093/bioinformatics/bti493","ISSN":"13674803","PMID":"15890744","abstract":"Motivation: An enormous number of protein-protein interaction relationships are buried in millions of research articles published over the years, and the number is growing. Rediscovering them automatically is a challenging bioinformatics task. Solutions to this problem also reach far beyond bioinformatics. Results: We study a new approach that involves automatically discovering English expression patterns, optimizing them and using them to extract protein-protein interactions. In a sister paper, we described how to generate English expression patterns related to protein-protein interactions, and this approach alone has already achieved precision and recall rates significantly higher than those of other automatic systems. This paper continues to present our theory, focusing on how to improve the patterns. A minimum description length (MDL)-based pattern-optimization algorithm is designed to reduce and merge patterns. This has significantly increased generalization power, and hence the recall and precision rates, as confirmed by our experiments. © The Author 2005. Published by Oxford University Press. All rights reserved.","author":[{"dropping-particle":"","family":"Hao","given":"Yu","non-dropping-particle":"","parse-names":false,"suffix":""},{"dropping-particle":"","family":"Zhu","given":"Xiaoyan","non-dropping-particle":"","parse-names":false,"suffix":""},{"dropping-particle":"","family":"Huang","given":"Minlie","non-dropping-particle":"","parse-names":false,"suffix":""},{"dropping-particle":"","family":"Li","given":"Ming","non-dropping-particle":"","parse-names":false,"suffix":""}],"container-title":"Bioinformatics","id":"ITEM-1","issue":"15","issued":{"date-parts":[["2005"]]},"page":"3294-3300","title":"Discovering patterns to extract protein-protein interactions from the literature: Part II","type":"article-journal","volume":"21"},"uris":["http://www.mendeley.com/documents/?uuid=ca9e14d4-cbbd-4403-80ef-fccfe511820a"]}],"mendeley":{"formattedCitation":"[31]","plainTextFormattedCitation":"[31]","previouslyFormattedCitation":"[31]"},"properties":{"noteIndex":0},"schema":"https://github.com/citation-style-language/schema/raw/master/csl-citation.json"}</w:instrText>
      </w:r>
      <w:r>
        <w:rPr/>
        <w:fldChar w:fldCharType="separate"/>
      </w:r>
      <w:bookmarkStart w:id="130" w:name="__Fieldmark__1383_2337847765"/>
      <w:r>
        <w:rPr/>
        <w:t>[</w:t>
      </w:r>
      <w:bookmarkStart w:id="131" w:name="__Fieldmark__3095_983630037"/>
      <w:r>
        <w:rPr/>
        <w:t>31]</w:t>
      </w:r>
      <w:r>
        <w:rPr/>
      </w:r>
      <w:r>
        <w:rPr/>
        <w:fldChar w:fldCharType="end"/>
      </w:r>
      <w:bookmarkEnd w:id="130"/>
      <w:bookmarkEnd w:id="131"/>
      <w:r>
        <w:rPr/>
        <w:t xml:space="preserve"> gefunden werden. Mit den musterbasierten Ansätzen zum RE Text Mining, lassen sich relativ gut einfache Interaktionen in Sätzen erfassen. Bei komplexeren Sätzen, welche in der Wissenschaft üblich sind, gerät dieser Ansatz schnell an seine Grenzen </w:t>
      </w:r>
      <w:r>
        <w:fldChar w:fldCharType="begin"/>
      </w:r>
      <w:r>
        <w:rPr/>
        <w:instrText>ADDIN CSL_CITATION {"citationItems":[{"id":"ITEM-1","itemData":{"DOI":"10.1016/j.jbi.2011.04.005","ISSN":"15320464","PMID":"21545845","abstract":"A drug-drug interaction (DDI) occurs when one drug influences the level or activity of another drug. Information Extraction (IE) techniques can provide health care professionals with an interesting way to reduce time spent reviewing the literature for potential drug-drug interactions. Nevertheless, no approach has been proposed to the problem of extracting DDIs in biomedical texts. In this article, we study whether a machine learning-based method is appropriate for DDI extraction in biomedical texts and whether the results provided are superior to those obtained from our previously proposed pattern-based approach [1]. The method proposed here for DDI extraction is based on a supervised machine learning technique, more specifically, the shallow linguistic kernel proposed in Giuliano et al. (2006) [2]. Since no benchmark corpus was available to evaluate our approach to DDI extraction, we created the first such corpus, DrugDDI, annotated with 3169 DDIs. We performed several experiments varying the configuration parameters of the shallow linguistic kernel. The model that maximizes the F-measure was evaluated on the test data of the DrugDDI corpus, achieving a precision of 51.03%, a recall of 72.82% and an F-measure of 60.01%.To the best of our knowledge, this work has proposed the first full solution for the automatic extraction of DDIs from biomedical texts. Our study confirms that the shallow linguistic kernel outperforms our previous pattern-based approach. Additionally, it is our hope that the DrugDDI corpus will allow researchers to explore new solutions to the DDI extraction problem. © 2011 Elsevier Inc.","author":[{"dropping-particle":"","family":"Segura-Bedmar","given":"Isabel","non-dropping-particle":"","parse-names":false,"suffix":""},{"dropping-particle":"","family":"Martínez","given":"Paloma","non-dropping-particle":"","parse-names":false,"suffix":""},{"dropping-particle":"","family":"Pablo-Sánchez","given":"Cesar","non-dropping-particle":"de","parse-names":false,"suffix":""}],"container-title":"Journal of Biomedical Informatics","id":"ITEM-1","issue":"5","issued":{"date-parts":[["2011"]]},"page":"789-804","publisher":"Elsevier Inc.","title":"Using a shallow linguistic kernel for drug-drug interaction extraction","type":"article-journal","volume":"44"},"uris":["http://www.mendeley.com/documents/?uuid=51e416b7-f322-4df5-8e7c-02b013315d90"]}],"mendeley":{"formattedCitation":"[32]","plainTextFormattedCitation":"[32]","previouslyFormattedCitation":"[32]"},"properties":{"noteIndex":0},"schema":"https://github.com/citation-style-language/schema/raw/master/csl-citation.json"}</w:instrText>
      </w:r>
      <w:r>
        <w:rPr/>
        <w:fldChar w:fldCharType="separate"/>
      </w:r>
      <w:bookmarkStart w:id="132" w:name="__Fieldmark__1390_2337847765"/>
      <w:r>
        <w:rPr/>
        <w:t>[</w:t>
      </w:r>
      <w:bookmarkStart w:id="133" w:name="__Fieldmark__3126_983630037"/>
      <w:r>
        <w:rPr/>
        <w:t>32]</w:t>
      </w:r>
      <w:r>
        <w:rPr/>
      </w:r>
      <w:r>
        <w:rPr/>
        <w:fldChar w:fldCharType="end"/>
      </w:r>
      <w:bookmarkEnd w:id="132"/>
      <w:bookmarkEnd w:id="133"/>
      <w:r>
        <w:rPr/>
        <w:t xml:space="preserve">.   </w:t>
      </w:r>
    </w:p>
    <w:p>
      <w:pPr>
        <w:pStyle w:val="Normal"/>
        <w:rPr>
          <w:highlight w:val="white"/>
        </w:rPr>
      </w:pPr>
      <w:r>
        <w:rPr/>
        <w:t xml:space="preserve">Aus diesem Grund werden Klassifikatoren, die an gelabelten Daten trainierte Modelle des überwachten maschinellen Lernens verwenden, immer interessanter.  In den ersten Arbeiten mit diesem Ansatz werden z.B. Bayes’sche  Netze </w:t>
      </w:r>
      <w:r>
        <w:fldChar w:fldCharType="begin"/>
      </w:r>
      <w:r>
        <w:rPr/>
        <w:instrText>ADDIN CSL_CITATION {"citationItems":[{"id":"ITEM-1","itemData":{"DOI":"10.1093/bioinformatics/btp245","ISSN":"13674803","PMID":"19369495","abstract":"Motivation: Protein-protein interaction (PPI) extraction from published biological articles has attracted much attention because of the importance of protein interactions in biological processes. Despite significant progress, mining PPIs from literatures still rely heavily on time- and resource-consuming manual annotations. Results: In this study, we developed a novel methodology based on Bayesian networks (BNs) for extracting PPI triplets (a PPI triplet consists of two protein names and the corresponding interaction word) from unstructured text. The method achieved an overall accuracy of 87% on a cross-validation test using manually annotated dataset. We also showed, through extracting PPI triplets from a large number of PubMed abstracts, that our method was able to complement human annotations to extract large number of new PPIs from literature. © The Author 2009. Published by Oxford University Press. All rights reserved.","author":[{"dropping-particle":"","family":"Chowdhary","given":"Rajesh","non-dropping-particle":"","parse-names":false,"suffix":""},{"dropping-particle":"","family":"Zhang","given":"Jinfeng","non-dropping-particle":"","parse-names":false,"suffix":""},{"dropping-particle":"","family":"Liu","given":"Jun S.","non-dropping-particle":"","parse-names":false,"suffix":""}],"container-title":"Bioinformatics","id":"ITEM-1","issue":"12","issued":{"date-parts":[["2009"]]},"page":"1536-1542","title":"Bayesian inference of protein-protein interactions from biological literature","type":"article-journal","volume":"25"},"uris":["http://www.mendeley.com/documents/?uuid=8aa5c2f4-1736-4d2e-ac7a-08a902b65a05"]}],"mendeley":{"formattedCitation":"[33]","plainTextFormattedCitation":"[33]","previouslyFormattedCitation":"[33]"},"properties":{"noteIndex":0},"schema":"https://github.com/citation-style-language/schema/raw/master/csl-citation.json"}</w:instrText>
      </w:r>
      <w:r>
        <w:rPr/>
        <w:fldChar w:fldCharType="separate"/>
      </w:r>
      <w:bookmarkStart w:id="134" w:name="__Fieldmark__1398_2337847765"/>
      <w:r>
        <w:rPr/>
        <w:t>[</w:t>
      </w:r>
      <w:bookmarkStart w:id="135" w:name="__Fieldmark__3157_983630037"/>
      <w:r>
        <w:rPr/>
        <w:t>33]</w:t>
      </w:r>
      <w:r>
        <w:rPr/>
      </w:r>
      <w:r>
        <w:rPr/>
        <w:fldChar w:fldCharType="end"/>
      </w:r>
      <w:bookmarkEnd w:id="134"/>
      <w:bookmarkEnd w:id="135"/>
      <w:r>
        <w:rPr/>
        <w:t xml:space="preserve">  oder maximale</w:t>
        <w:noBreakHyphen/>
        <w:t>Entropie</w:t>
        <w:noBreakHyphen/>
        <w:t>basierte</w:t>
        <w:noBreakHyphen/>
        <w:t xml:space="preserve">Methoden </w:t>
      </w:r>
      <w:r>
        <w:fldChar w:fldCharType="begin"/>
      </w:r>
      <w:r>
        <w:rPr/>
        <w:instrText>ADDIN CSL_CITATION {"citationItems":[{"id":"ITEM-1","itemData":{"DOI":"10.1007/978-3-540-74171-8_72","ISBN":"9783540741701","ISSN":"16113349","abstract":"Protein-Protein interaction (PPI) information play a vital role in biological research. This work proposes a two-step machine learning based method to extract PPI information from biomedical literature. Both steps use Maximum Entropy (ME) model. The first step is designed to estimate whether a sentence in a literature contains PPI information. The second step is to judge whether each protein pair in a sentence has interaction. Two steps are combined through adding the outputs of the first step to the model of the second step as features. Experiments show the method achieves a total accuracy of 81.9% in BC-PPI corpus and the outputs of the first step can effectively prompt the performance of the PPI information extraction. © Springer-Verlag Berlin Heidelberg 2007.","author":[{"dropping-particle":"","family":"Sun","given":"Chengjie","non-dropping-particle":"","parse-names":false,"suffix":""},{"dropping-particle":"","family":"Lin","given":"Lei","non-dropping-particle":"","parse-names":false,"suffix":""},{"dropping-particle":"","family":"Wang","given":"Xiaolong","non-dropping-particle":"","parse-names":false,"suffix":""},{"dropping-particle":"","family":"Guan","given":"Yi","non-dropping-particle":"","parse-names":false,"suffix":""}],"container-title":"Lecture Notes in Computer Science (including subseries Lecture Notes in Artificial Intelligence and Lecture Notes in Bioinformatics)","id":"ITEM-1","issue":"August","issued":{"date-parts":[["2007"]]},"page":"730-737","title":"Using maximum entropy model to extract protein-protein interaction information from biomedical literature","type":"article-journal","volume":"4681 LNCS"},"uris":["http://www.mendeley.com/documents/?uuid=0395686d-3c49-4dd2-bd14-b683206b5835"]}],"mendeley":{"formattedCitation":"[34]","plainTextFormattedCitation":"[34]","previouslyFormattedCitation":"[34]"},"properties":{"noteIndex":0},"schema":"https://github.com/citation-style-language/schema/raw/master/csl-citation.json"}</w:instrText>
      </w:r>
      <w:r>
        <w:rPr/>
        <w:fldChar w:fldCharType="separate"/>
      </w:r>
      <w:bookmarkStart w:id="136" w:name="__Fieldmark__1411_2337847765"/>
      <w:r>
        <w:rPr/>
        <w:t>[</w:t>
      </w:r>
      <w:bookmarkStart w:id="137" w:name="__Fieldmark__3170_983630037"/>
      <w:r>
        <w:rPr/>
        <w:t>34]</w:t>
      </w:r>
      <w:r>
        <w:rPr/>
      </w:r>
      <w:r>
        <w:rPr/>
        <w:fldChar w:fldCharType="end"/>
      </w:r>
      <w:bookmarkEnd w:id="136"/>
      <w:bookmarkEnd w:id="137"/>
      <w:r>
        <w:rPr/>
        <w:t xml:space="preserve"> verwendet. Außerdem wird der Einsatz von Kern-Methoden-basierte Modellen immer beliebter. </w:t>
      </w:r>
      <w:r>
        <w:rPr>
          <w:i/>
          <w:iCs/>
        </w:rPr>
        <w:t>Tikk et al.</w:t>
      </w:r>
      <w:r>
        <w:rPr/>
        <w:t xml:space="preserve"> vergleichen 13 publizierte Kern</w:t>
        <w:noBreakHyphen/>
        <w:t xml:space="preserve">Methoden zur Extraktion von Protein-Protein Interaktionen </w:t>
      </w:r>
      <w:r>
        <w:fldChar w:fldCharType="begin"/>
      </w:r>
      <w:r>
        <w:rPr/>
        <w:instrText>ADDIN CSL_CITATION {"citationItems":[{"id":"ITEM-1","itemData":{"DOI":"10.1371/journal.pcbi.1000837","ISSN":"1553734X","PMID":"20617200","abstract":"The most important way of conveying new findings in biomedical research is scientific publication. Extraction of protein- protein interactions (PPIs) reported in scientific publications is one of the core topics of text mining in the life sciences. Recently, a new class of such methods has been proposed - convolution kernels that identify PPIs using deep parses of sentences. However, comparing published results of different PPI extraction methods is impossible due to the use of different evaluation corpora, different evaluation metrics, different tuning procedures, etc. In this paper, we study whether the reported performance metrics are robust across different corpora and learning settings and whether the use of deep parsing actually leads to an increase in extraction quality. Our ultimate goal is to identify the one method that performs best in real-life scenarios, where information extraction is performed on unseen text and not on specifically prepared evaluation data. We performed a comprehensive benchmarking of nine different methods for PPI extraction that use convolution kernels on rich linguistic information. Methods were evaluated on five different public corpora using crossvalidation, cross-learning, and cross-corpus evaluation. Our study confirms that kernels using dependency trees generally outperform kernels based on syntax trees. However, our study also shows that only the best kernel methods can compete with a simple rule-based approach when the evaluation prevents information leakage between training and test corpora. Our results further reveal that the F-score of many approaches drops significantly if no corpus-specific parameter optimization is applied and that methods reaching a good AUC score often perform much worse in terms of F-score. We conclude that for most kernels no sensible estimation of PPI extraction performance on new text is possible, given the current heterogeneity in evaluation data. Nevertheless, our study shows that three kernels are clearly superior to the other methods. © 2010 Tikk et al.","author":[{"dropping-particle":"","family":"Tikk","given":"Domonkos","non-dropping-particle":"","parse-names":false,"suffix":""},{"dropping-particle":"","family":"Thomas","given":"Philippe","non-dropping-particle":"","parse-names":false,"suffix":""},{"dropping-particle":"","family":"Palaga","given":"Peter","non-dropping-particle":"","parse-names":false,"suffix":""},{"dropping-particle":"","family":"Hakenberg","given":"Jörg","non-dropping-particle":"","parse-names":false,"suffix":""},{"dropping-particle":"","family":"Leser","given":"Ulf","non-dropping-particle":"","parse-names":false,"suffix":""}],"container-title":"PLoS Computational Biology","id":"ITEM-1","issue":"7","issued":{"date-parts":[["2010"]]},"page":"32","title":"A comprehensive benchmark of kernel methods to extract protein-protein interactions from literature","type":"article-journal","volume":"6"},"uris":["http://www.mendeley.com/documents/?uuid=5b7c6517-ddf2-4120-a3fd-3ff0371a06b9"]}],"mendeley":{"formattedCitation":"[35]","plainTextFormattedCitation":"[35]","previouslyFormattedCitation":"[35]"},"properties":{"noteIndex":0},"schema":"https://github.com/citation-style-language/schema/raw/master/csl-citation.json"}</w:instrText>
      </w:r>
      <w:r>
        <w:rPr/>
        <w:fldChar w:fldCharType="separate"/>
      </w:r>
      <w:bookmarkStart w:id="138" w:name="__Fieldmark__1422_2337847765"/>
      <w:r>
        <w:rPr/>
        <w:t>[</w:t>
      </w:r>
      <w:bookmarkStart w:id="139" w:name="__Fieldmark__3197_983630037"/>
      <w:r>
        <w:rPr/>
        <w:t>35]</w:t>
      </w:r>
      <w:r>
        <w:rPr/>
      </w:r>
      <w:r>
        <w:rPr/>
        <w:fldChar w:fldCharType="end"/>
      </w:r>
      <w:bookmarkEnd w:id="138"/>
      <w:bookmarkEnd w:id="139"/>
      <w:r>
        <w:rPr/>
        <w:t xml:space="preserve">. Zwei dieser Methoden, welche je zu guten Ergebnissen geführt hatten, werden in der Arbeit von </w:t>
      </w:r>
      <w:r>
        <w:rPr>
          <w:i/>
          <w:iCs/>
          <w:shd w:fill="FFFFFF" w:val="clear"/>
        </w:rPr>
        <w:t xml:space="preserve">Döring K, Qaseem A, Becer M, Li J, Mishra P, Gao M, et al. </w:t>
      </w:r>
      <w:r>
        <w:rPr>
          <w:shd w:fill="FFFFFF" w:val="clear"/>
        </w:rPr>
        <w:t>zur Extraktion von CPI</w:t>
        <w:noBreakHyphen/>
        <w:t xml:space="preserve">Paaren aus der Literatur verwendet </w:t>
      </w:r>
      <w:r>
        <w:fldChar w:fldCharType="begin"/>
      </w:r>
      <w:r>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Pr/>
        <w:fldChar w:fldCharType="separate"/>
      </w:r>
      <w:bookmarkStart w:id="140" w:name="__Fieldmark__1433_2337847765"/>
      <w:r>
        <w:rPr/>
      </w:r>
      <w:r>
        <w:rPr>
          <w:shd w:fill="FFFFFF" w:val="clear"/>
        </w:rPr>
        <w:t>[</w:t>
      </w:r>
      <w:bookmarkStart w:id="141" w:name="__Fieldmark__3216_983630037"/>
      <w:r>
        <w:rPr>
          <w:shd w:fill="FFFFFF" w:val="clear"/>
        </w:rPr>
        <w:t>36]</w:t>
      </w:r>
      <w:r>
        <w:rPr/>
      </w:r>
      <w:r>
        <w:rPr/>
        <w:fldChar w:fldCharType="end"/>
      </w:r>
      <w:bookmarkEnd w:id="140"/>
      <w:bookmarkEnd w:id="141"/>
      <w:r>
        <w:rPr>
          <w:shd w:fill="FFFFFF" w:val="clear"/>
        </w:rPr>
        <w:t xml:space="preserve"> (siehe </w:t>
      </w:r>
      <w:r>
        <w:rPr>
          <w:i/>
          <w:iCs/>
          <w:shd w:fill="FFFFFF" w:val="clear"/>
        </w:rPr>
        <w:fldChar w:fldCharType="begin"/>
      </w:r>
      <w:r>
        <w:rPr>
          <w:i/>
          <w:shd w:fill="FFFFFF" w:val="clear"/>
          <w:iCs/>
        </w:rPr>
        <w:instrText> REF _Ref66457674 \h </w:instrText>
      </w:r>
      <w:r>
        <w:rPr>
          <w:i/>
          <w:shd w:fill="FFFFFF" w:val="clear"/>
          <w:iCs/>
        </w:rPr>
        <w:fldChar w:fldCharType="separate"/>
      </w:r>
      <w:r>
        <w:rPr>
          <w:i/>
          <w:shd w:fill="FFFFFF" w:val="clear"/>
          <w:iCs/>
        </w:rPr>
        <w:t>Automated recognition of functional compound-protein relationships in literature (2020)</w:t>
      </w:r>
      <w:r>
        <w:rPr>
          <w:i/>
          <w:shd w:fill="FFFFFF" w:val="clear"/>
          <w:iCs/>
        </w:rPr>
        <w:fldChar w:fldCharType="end"/>
      </w:r>
      <w:r>
        <w:rPr>
          <w:shd w:fill="FFFFFF" w:val="clear"/>
        </w:rPr>
        <w:t xml:space="preserve">). Erst seit den letzten Jahren werden als Klassifikatoren verschiedene Arten von Modellen des tiefen Lernens verwendet, wie z.B. RNN </w:t>
      </w:r>
      <w:r>
        <w:fldChar w:fldCharType="begin"/>
      </w:r>
      <w:r>
        <w:rPr/>
        <w:instrText>ADDIN CSL_CITATION {"citationItems":[{"id":"ITEM-1","itemData":{"abstract":"Deep learning has gained much success in sentence-level relation classification. For example, convolutional neural networks (CNN) have delivered competitive performance without much effort on feature engineering as the conventional pattern-based methods. Thus a lot of works have been produced based on CNN structures. However, a key issue that has not been well addressed by the CNN-based method is the lack of capability to learn temporal features, especially long-distance dependency between nominal pairs. In this paper, we propose a simple framework based on recurrent neural networks (RNN) and compare it with CNN-based model. To show the limitation of popular used SemEval-2010 Task 8 dataset, we introduce another dataset refined from MIMLRE(Angeli et al., 2014). Experiments on two different datasets strongly indicates that the RNN-based model can deliver better performance on relation classification, and it is particularly capable of learning long-distance relation patterns. This makes it suitable for real-world applications where complicated expressions are often involved.","author":[{"dropping-particle":"","family":"Zhang","given":"Dongxu","non-dropping-particle":"","parse-names":false,"suffix":""},{"dropping-particle":"","family":"Wang","given":"Dong","non-dropping-particle":"","parse-names":false,"suffix":""}],"id":"ITEM-1","issued":{"date-parts":[["2015"]]},"title":"Relation Classification via Recurrent Neural Network","type":"article-journal"},"uris":["http://www.mendeley.com/documents/?uuid=199b03a6-1c80-4381-bb9b-139d600dffd4"]}],"mendeley":{"formattedCitation":"[37]","plainTextFormattedCitation":"[37]","previouslyFormattedCitation":"[37]"},"properties":{"noteIndex":0},"schema":"https://github.com/citation-style-language/schema/raw/master/csl-citation.json"}</w:instrText>
      </w:r>
      <w:r>
        <w:rPr/>
        <w:fldChar w:fldCharType="separate"/>
      </w:r>
      <w:bookmarkStart w:id="142" w:name="__Fieldmark__1444_2337847765"/>
      <w:r>
        <w:rPr/>
      </w:r>
      <w:r>
        <w:rPr>
          <w:shd w:fill="FFFFFF" w:val="clear"/>
        </w:rPr>
        <w:t>[</w:t>
      </w:r>
      <w:bookmarkStart w:id="143" w:name="__Fieldmark__3237_983630037"/>
      <w:r>
        <w:rPr>
          <w:shd w:fill="FFFFFF" w:val="clear"/>
        </w:rPr>
        <w:t>37]</w:t>
      </w:r>
      <w:r>
        <w:rPr/>
      </w:r>
      <w:r>
        <w:rPr/>
        <w:fldChar w:fldCharType="end"/>
      </w:r>
      <w:bookmarkEnd w:id="142"/>
      <w:bookmarkEnd w:id="143"/>
      <w:r>
        <w:rPr>
          <w:shd w:fill="FFFFFF" w:val="clear"/>
        </w:rPr>
        <w:t xml:space="preserve">. Sehr richtungsweisend für NLP ist die Entwicklung eines vortrainierbaren allgemeinen Sprachmodels wie BERT </w:t>
      </w:r>
      <w:r>
        <w:fldChar w:fldCharType="begin"/>
      </w:r>
      <w:r>
        <w:rPr/>
        <w:instrText>ADDIN CSL_CITATION {"citationItems":[{"id":"ITEM-1","itemData":{"DOI":"10.1093/bioinformatics/btaa491","ISSN":"13674811","PMID":"32399565","abstract":"MOTIVATION: The biomedical literature contains a wealth of chemical-protein interactions (CPIs). Automatically extracting CPIs described in biomedical literature is essential for drug discovery, precision medicine, as well as basic biomedical research. Most existing methods focus only on the sentence sequence to identify these CPIs. However, the local structure of sentences and external biomedical knowledge also contain valuable information. Effective use of such information may improve the performance of CPI extraction. RESULTS: In this article, we propose a novel neural network-based approach to improve CPI extraction. Specifically, the approach first employs BERT to generate high-quality contextual representations of the title sequence, instance sequence and knowledge sequence. Then, the Gaussian probability distribution is introduced to capture the local structure of the instance. Meanwhile, the attention mechanism is applied to fuse the title information and biomedical knowledge, respectively. Finally, the related representations are concatenated and fed into the softmax function to extract CPIs. We evaluate our proposed model on the CHEMPROT corpus. Our proposed model is superior in performance as compared with other state-of-the-art models. The experimental results show that the Gaussian probability distribution and external knowledge are complementary to each other. Integrating them can effectively improve the CPI extraction performance. Furthermore, the Gaussian probability distribution can effectively improve the extraction performance of sentences with overlapping relations in biomedical relation extraction tasks. AVAILABILITY AND IMPLEMENTATION: Data and code are available at https://github.com/CongSun-dlut/CPI_extraction. SUPPLEMENTARY INFORMATION: Supplementary data are available at Bioinformatics online.","author":[{"dropping-particle":"","family":"Sun","given":"Cong","non-dropping-particle":"","parse-names":false,"suffix":""},{"dropping-particle":"","family":"Yang","given":"Zhihao","non-dropping-particle":"","parse-names":false,"suffix":""},{"dropping-particle":"","family":"Su","given":"Leilei","non-dropping-particle":"","parse-names":false,"suffix":""},{"dropping-particle":"","family":"Wang","given":"Lei","non-dropping-particle":"","parse-names":false,"suffix":""},{"dropping-particle":"","family":"Zhang","given":"Yin","non-dropping-particle":"","parse-names":false,"suffix":""},{"dropping-particle":"","family":"Lin","given":"Hongfei","non-dropping-particle":"","parse-names":false,"suffix":""},{"dropping-particle":"","family":"Wang","given":"Jian","non-dropping-particle":"","parse-names":false,"suffix":""}],"container-title":"Bioinformatics (Oxford, England)","id":"ITEM-1","issue":"15","issued":{"date-parts":[["2020"]]},"page":"4323-4330","title":"Chemical-protein interaction extraction via Gaussian probability distribution and external biomedical knowledge","type":"article-journal","volume":"36"},"uris":["http://www.mendeley.com/documents/?uuid=2522b4d9-db70-36ec-9e83-aa1b81fbd31f"]}],"mendeley":{"formattedCitation":"[38]","plainTextFormattedCitation":"[38]","previouslyFormattedCitation":"[38]"},"properties":{"noteIndex":0},"schema":"https://github.com/citation-style-language/schema/raw/master/csl-citation.json"}</w:instrText>
      </w:r>
      <w:r>
        <w:rPr/>
        <w:fldChar w:fldCharType="separate"/>
      </w:r>
      <w:bookmarkStart w:id="144" w:name="__Fieldmark__1451_2337847765"/>
      <w:r>
        <w:rPr/>
      </w:r>
      <w:r>
        <w:rPr>
          <w:shd w:fill="FFFFFF" w:val="clear"/>
        </w:rPr>
        <w:t>[</w:t>
      </w:r>
      <w:bookmarkStart w:id="145" w:name="__Fieldmark__3257_983630037"/>
      <w:r>
        <w:rPr>
          <w:shd w:fill="FFFFFF" w:val="clear"/>
        </w:rPr>
        <w:t>38]</w:t>
      </w:r>
      <w:r>
        <w:rPr/>
      </w:r>
      <w:r>
        <w:rPr/>
        <w:fldChar w:fldCharType="end"/>
      </w:r>
      <w:bookmarkEnd w:id="144"/>
      <w:bookmarkEnd w:id="145"/>
      <w:r>
        <w:rPr>
          <w:shd w:fill="FFFFFF" w:val="clear"/>
        </w:rPr>
        <w:t xml:space="preserve"> oder ELMO </w:t>
      </w:r>
      <w:r>
        <w:fldChar w:fldCharType="begin"/>
      </w:r>
      <w:r>
        <w:rPr/>
        <w:instrText>ADDIN CSL_CITATION {"citationItems":[{"id":"ITEM-1","itemData":{"DOI":"10.18653/v1/n18-1202","ISBN":"9781948087278","abstract":"We introduce a new type of deep contextualized word representation that models both (1) complex characteristics of word use (e.g., syntax and semantics), and (2) how these uses vary across linguistic contexts (i.e., to model polysemy). Our word vectors are learned functions of the internal states of a deep bidirectional language model (biLM), which is pretrained on a large text corpus. We show that these representations can be easily added to existing models and significantly improve the state of the art across six challenging NLP problems, including question answering, textual entailment and sentiment analysis. We also present an analysis showing that exposing the deep internals of the pre-Trained network is crucial, allowing downstream models to mix different types of semi-supervision signals.","author":[{"dropping-particle":"","family":"Peters","given":"Matthew E.","non-dropping-particle":"","parse-names":false,"suffix":""},{"dropping-particle":"","family":"Neumann","given":"Mark","non-dropping-particle":"","parse-names":false,"suffix":""},{"dropping-particle":"","family":"Iyyer","given":"Mohit","non-dropping-particle":"","parse-names":false,"suffix":""},{"dropping-particle":"","family":"Gardner","given":"Matt","non-dropping-particle":"","parse-names":false,"suffix":""},{"dropping-particle":"","family":"Clark","given":"Christopher","non-dropping-particle":"","parse-names":false,"suffix":""},{"dropping-particle":"","family":"Lee","given":"Kenton","non-dropping-particle":"","parse-names":false,"suffix":""},{"dropping-particle":"","family":"Zettlemoyer","given":"Luke","non-dropping-particle":"","parse-names":false,"suffix":""}],"container-title":"NAACL HLT 2018 - 2018 Conference of the North American Chapter of the Association for Computational Linguistics: Human Language Technologies - Proceedings of the Conference","id":"ITEM-1","issued":{"date-parts":[["2018"]]},"page":"2227-2237","title":"Deep contextualized word representations","type":"article-journal","volume":"1"},"uris":["http://www.mendeley.com/documents/?uuid=34619515-de89-4bf1-9a64-f92e349f3684"]}],"mendeley":{"formattedCitation":"[39]","plainTextFormattedCitation":"[39]","previouslyFormattedCitation":"[39]"},"properties":{"noteIndex":0},"schema":"https://github.com/citation-style-language/schema/raw/master/csl-citation.json"}</w:instrText>
      </w:r>
      <w:r>
        <w:rPr/>
        <w:fldChar w:fldCharType="separate"/>
      </w:r>
      <w:bookmarkStart w:id="146" w:name="__Fieldmark__1458_2337847765"/>
      <w:r>
        <w:rPr/>
      </w:r>
      <w:r>
        <w:rPr>
          <w:shd w:fill="FFFFFF" w:val="clear"/>
        </w:rPr>
        <w:t>[</w:t>
      </w:r>
      <w:bookmarkStart w:id="147" w:name="__Fieldmark__3262_983630037"/>
      <w:r>
        <w:rPr>
          <w:shd w:fill="FFFFFF" w:val="clear"/>
        </w:rPr>
        <w:t>39]</w:t>
      </w:r>
      <w:r>
        <w:rPr/>
      </w:r>
      <w:r>
        <w:rPr/>
        <w:fldChar w:fldCharType="end"/>
      </w:r>
      <w:bookmarkEnd w:id="146"/>
      <w:bookmarkEnd w:id="147"/>
      <w:r>
        <w:rPr>
          <w:shd w:fill="FFFFFF" w:val="clear"/>
        </w:rPr>
        <w:t xml:space="preserve">, welche unter anderem zu </w:t>
      </w:r>
      <w:r>
        <w:rPr/>
        <w:t>Text Mining verwendet werden können</w:t>
      </w:r>
      <w:r>
        <w:rPr>
          <w:shd w:fill="FFFFFF" w:val="clear"/>
        </w:rPr>
        <w:t xml:space="preserve">. Das erfolgreiche Spezialisieren von BERT auf biomedizinische Texte gelingt 2019 </w:t>
      </w:r>
      <w:r>
        <w:fldChar w:fldCharType="begin"/>
      </w:r>
      <w:r>
        <w:rPr/>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eviouslyFormattedCitation":"[40]"},"properties":{"noteIndex":0},"schema":"https://github.com/citation-style-language/schema/raw/master/csl-citation.json"}</w:instrText>
      </w:r>
      <w:r>
        <w:rPr/>
        <w:fldChar w:fldCharType="separate"/>
      </w:r>
      <w:bookmarkStart w:id="148" w:name="__Fieldmark__1467_2337847765"/>
      <w:r>
        <w:rPr/>
      </w:r>
      <w:r>
        <w:rPr>
          <w:shd w:fill="FFFFFF" w:val="clear"/>
        </w:rPr>
        <w:t>[</w:t>
      </w:r>
      <w:bookmarkStart w:id="149" w:name="__Fieldmark__3281_983630037"/>
      <w:r>
        <w:rPr>
          <w:shd w:fill="FFFFFF" w:val="clear"/>
        </w:rPr>
        <w:t>40]</w:t>
      </w:r>
      <w:r>
        <w:rPr/>
      </w:r>
      <w:r>
        <w:rPr/>
        <w:fldChar w:fldCharType="end"/>
      </w:r>
      <w:bookmarkEnd w:id="148"/>
      <w:bookmarkEnd w:id="149"/>
      <w:r>
        <w:rPr>
          <w:shd w:fill="FFFFFF" w:val="clear"/>
        </w:rPr>
        <w:t xml:space="preserve"> (siehe </w:t>
      </w:r>
      <w:r>
        <w:rPr>
          <w:i/>
          <w:iCs/>
          <w:shd w:fill="FFFFFF" w:val="clear"/>
        </w:rPr>
        <w:fldChar w:fldCharType="begin"/>
      </w:r>
      <w:r>
        <w:rPr>
          <w:i/>
          <w:shd w:fill="FFFFFF" w:val="clear"/>
          <w:iCs/>
        </w:rPr>
        <w:instrText> REF _Ref66537442 \h </w:instrText>
      </w:r>
      <w:r>
        <w:rPr>
          <w:i/>
          <w:shd w:fill="FFFFFF" w:val="clear"/>
          <w:iCs/>
        </w:rPr>
        <w:fldChar w:fldCharType="separate"/>
      </w:r>
      <w:r>
        <w:rPr>
          <w:i/>
          <w:shd w:fill="FFFFFF" w:val="clear"/>
          <w:iCs/>
        </w:rPr>
        <w:t>BioBERT: a pre-trained biomedical language representation model for biomedical text mining (2019)</w:t>
      </w:r>
      <w:r>
        <w:rPr>
          <w:i/>
          <w:shd w:fill="FFFFFF" w:val="clear"/>
          <w:iCs/>
        </w:rPr>
        <w:fldChar w:fldCharType="end"/>
      </w:r>
      <w:r>
        <w:rPr>
          <w:shd w:fill="FFFFFF" w:val="clear"/>
        </w:rPr>
        <w:t xml:space="preserve">). </w:t>
      </w:r>
    </w:p>
    <w:p>
      <w:pPr>
        <w:pStyle w:val="Normal"/>
        <w:rPr/>
      </w:pPr>
      <w:r>
        <w:rPr/>
      </w:r>
    </w:p>
    <w:p>
      <w:pPr>
        <w:pStyle w:val="Normal"/>
        <w:rPr/>
      </w:pPr>
      <w:r>
        <w:rPr/>
        <w:t xml:space="preserve">Im Folgenden werden die beiden für diese Bachelorarbeit wichtigen  wissenschaftlichen Arbeiten </w:t>
      </w:r>
      <w:r>
        <w:fldChar w:fldCharType="begin"/>
      </w:r>
      <w:r>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Pr/>
        <w:fldChar w:fldCharType="separate"/>
      </w:r>
      <w:bookmarkStart w:id="150" w:name="__Fieldmark__1479_2337847765"/>
      <w:r>
        <w:rPr/>
        <w:t>[</w:t>
      </w:r>
      <w:bookmarkStart w:id="151" w:name="__Fieldmark__3299_983630037"/>
      <w:r>
        <w:rPr/>
        <w:t>36]</w:t>
      </w:r>
      <w:r>
        <w:rPr/>
      </w:r>
      <w:r>
        <w:rPr/>
        <w:fldChar w:fldCharType="end"/>
      </w:r>
      <w:bookmarkEnd w:id="150"/>
      <w:bookmarkEnd w:id="151"/>
      <w:r>
        <w:rPr/>
        <w:t xml:space="preserve">, </w:t>
      </w:r>
      <w:r>
        <w:fldChar w:fldCharType="begin"/>
      </w:r>
      <w:r>
        <w:rPr/>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eviouslyFormattedCitation":"[40]"},"properties":{"noteIndex":0},"schema":"https://github.com/citation-style-language/schema/raw/master/csl-citation.json"}</w:instrText>
      </w:r>
      <w:r>
        <w:rPr/>
        <w:fldChar w:fldCharType="separate"/>
      </w:r>
      <w:bookmarkStart w:id="152" w:name="__Fieldmark__1486_2337847765"/>
      <w:r>
        <w:rPr/>
        <w:t>[</w:t>
      </w:r>
      <w:bookmarkStart w:id="153" w:name="__Fieldmark__3304_983630037"/>
      <w:r>
        <w:rPr/>
        <w:t>40]</w:t>
      </w:r>
      <w:r>
        <w:rPr/>
      </w:r>
      <w:r>
        <w:rPr/>
        <w:fldChar w:fldCharType="end"/>
      </w:r>
      <w:bookmarkEnd w:id="152"/>
      <w:bookmarkEnd w:id="153"/>
      <w:r>
        <w:rPr/>
        <w:t xml:space="preserve"> näher beschrieben.</w:t>
      </w:r>
    </w:p>
    <w:p>
      <w:pPr>
        <w:pStyle w:val="Berschrift4"/>
        <w:rPr>
          <w:highlight w:val="white"/>
        </w:rPr>
      </w:pPr>
      <w:bookmarkStart w:id="154" w:name="_Ref66457674"/>
      <w:r>
        <w:rPr>
          <w:shd w:fill="FFFFFF" w:val="clear"/>
        </w:rPr>
        <w:t>Automated recognition of functional compound-protein relationships in literature (2020)</w:t>
      </w:r>
      <w:bookmarkEnd w:id="154"/>
      <w:r>
        <w:rPr>
          <w:shd w:fill="FFFFFF" w:val="clear"/>
        </w:rPr>
        <w:t xml:space="preserve"> </w:t>
      </w:r>
    </w:p>
    <w:p>
      <w:pPr>
        <w:pStyle w:val="Normal"/>
        <w:rPr>
          <w:highlight w:val="white"/>
        </w:rPr>
      </w:pPr>
      <w:r>
        <w:rPr>
          <w:shd w:fill="FFFFFF" w:val="clear"/>
        </w:rPr>
        <w:t xml:space="preserve">In dieser Arbeit von </w:t>
      </w:r>
      <w:r>
        <w:rPr>
          <w:i/>
          <w:iCs/>
          <w:shd w:fill="FFFFFF" w:val="clear"/>
        </w:rPr>
        <w:t>Döring K, Qaseem A, Becer M, Li J, Mishra P, Gao M, et al.</w:t>
      </w:r>
      <w:r>
        <w:rPr>
          <w:shd w:fill="FFFFFF" w:val="clear"/>
        </w:rPr>
        <w:t xml:space="preserve"> aus dem Jahr 2020 </w:t>
      </w:r>
      <w:r>
        <w:fldChar w:fldCharType="begin"/>
      </w:r>
      <w:r>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Pr/>
        <w:fldChar w:fldCharType="separate"/>
      </w:r>
      <w:bookmarkStart w:id="155" w:name="__Fieldmark__1500_2337847765"/>
      <w:r>
        <w:rPr/>
      </w:r>
      <w:r>
        <w:rPr>
          <w:shd w:fill="FFFFFF" w:val="clear"/>
        </w:rPr>
        <w:t>[</w:t>
      </w:r>
      <w:bookmarkStart w:id="156" w:name="__Fieldmark__3339_983630037"/>
      <w:r>
        <w:rPr>
          <w:shd w:fill="FFFFFF" w:val="clear"/>
        </w:rPr>
        <w:t>36]</w:t>
      </w:r>
      <w:r>
        <w:rPr/>
      </w:r>
      <w:r>
        <w:rPr/>
        <w:fldChar w:fldCharType="end"/>
      </w:r>
      <w:bookmarkEnd w:id="155"/>
      <w:bookmarkEnd w:id="156"/>
      <w:r>
        <w:rPr>
          <w:shd w:fill="FFFFFF" w:val="clear"/>
        </w:rPr>
        <w:t xml:space="preserve"> wurden die beiden Kern-Methoden </w:t>
      </w:r>
      <w:r>
        <w:rPr>
          <w:i/>
          <w:iCs/>
          <w:shd w:fill="FFFFFF" w:val="clear"/>
        </w:rPr>
        <w:t xml:space="preserve">all-paths graph </w:t>
      </w:r>
      <w:r>
        <w:rPr>
          <w:shd w:fill="FFFFFF" w:val="clear"/>
        </w:rPr>
        <w:t xml:space="preserve">und </w:t>
      </w:r>
      <w:r>
        <w:rPr>
          <w:i/>
          <w:iCs/>
          <w:shd w:fill="FFFFFF" w:val="clear"/>
        </w:rPr>
        <w:t xml:space="preserve">shallow linguistic </w:t>
      </w:r>
      <w:r>
        <w:rPr>
          <w:shd w:fill="FFFFFF" w:val="clear"/>
        </w:rPr>
        <w:t>mittels eines eigen erstellten Datensatzes kreuzvalidiert und anschließend zum CPI Text Mining aus den Titeln und Abstracts aller vor Juli 2019 veröffentlichen PubMed Artikel verwendet. Die Hauptidee dieser Kern</w:t>
        <w:noBreakHyphen/>
        <w:t xml:space="preserve">Methoden ist es, die Ähnlichkeit der beiden Entitäten anhand der Ähnlichkeiten in der Unterstruktur des Satzes zu bestimmen. Bei der </w:t>
      </w:r>
      <w:r>
        <w:rPr>
          <w:i/>
          <w:iCs/>
        </w:rPr>
        <w:t>all</w:t>
        <w:noBreakHyphen/>
        <w:t>paths graph</w:t>
      </w:r>
      <w:r>
        <w:rPr>
          <w:i/>
          <w:iCs/>
          <w:shd w:fill="FFFFFF" w:val="clear"/>
        </w:rPr>
        <w:t xml:space="preserve"> </w:t>
      </w:r>
      <w:r>
        <w:rPr>
          <w:shd w:fill="FFFFFF" w:val="clear"/>
        </w:rPr>
        <w:t xml:space="preserve">Kern-Methode wird ein Abhängigkeits-Graph der Satzstruktur verwendet, um die Ähnlichkeiten mit Hilfe von gewichteten Pfaden zu bestimmen. Die </w:t>
      </w:r>
      <w:r>
        <w:rPr>
          <w:i/>
          <w:iCs/>
          <w:shd w:fill="FFFFFF" w:val="clear"/>
        </w:rPr>
        <w:t>shallow linguistic</w:t>
      </w:r>
      <w:r>
        <w:rPr>
          <w:shd w:fill="FFFFFF" w:val="clear"/>
        </w:rPr>
        <w:t xml:space="preserve"> Kern-Methode setzt sich als Summe aus zwei Kernen zusammen, welche nur einen kleinen Bereich an Wörtern um die Entitäten berücksichtigen. Die resultierende Ähnlichkeit des Entitäten-Paars ergibt sich als Skalarprodukt der Ergebnisvektoren beider Kerne. Die Ergebnisse der Kreuzvalidierung sind in </w:t>
      </w:r>
      <w:r>
        <w:rPr>
          <w:shd w:fill="FFFFFF" w:val="clear"/>
        </w:rPr>
        <w:fldChar w:fldCharType="begin"/>
      </w:r>
      <w:r>
        <w:rPr>
          <w:shd w:fill="FFFFFF" w:val="clear"/>
        </w:rPr>
        <w:instrText> REF _Ref66393393 \h </w:instrText>
      </w:r>
      <w:r>
        <w:rPr>
          <w:shd w:fill="FFFFFF" w:val="clear"/>
        </w:rPr>
        <w:fldChar w:fldCharType="separate"/>
      </w:r>
      <w:r>
        <w:rPr>
          <w:shd w:fill="FFFFFF" w:val="clear"/>
        </w:rPr>
        <w:t>Tabelle 1</w:t>
      </w:r>
      <w:r>
        <w:rPr>
          <w:shd w:fill="FFFFFF" w:val="clear"/>
        </w:rPr>
        <w:fldChar w:fldCharType="end"/>
      </w:r>
      <w:r>
        <w:rPr>
          <w:shd w:fill="FFFFFF" w:val="clear"/>
        </w:rPr>
        <w:t xml:space="preserve"> dargestellt. </w:t>
      </w:r>
      <w:commentRangeStart w:id="10"/>
      <w:r>
        <w:rPr>
          <w:shd w:fill="FFFFFF" w:val="clear"/>
        </w:rPr>
        <w:t xml:space="preserve">Die Kombination der beiden Kerne führt zu einem leicht besseren Ergebnis.         </w:t>
      </w:r>
      <w:commentRangeEnd w:id="10"/>
      <w:r>
        <w:commentReference w:id="10"/>
      </w:r>
      <w:r>
        <w:rPr>
          <w:shd w:fill="FFFFFF" w:val="clear"/>
        </w:rPr>
      </w:r>
    </w:p>
    <w:p>
      <w:pPr>
        <w:pStyle w:val="Caption"/>
        <w:keepNext w:val="true"/>
        <w:rPr/>
      </w:pPr>
      <w:bookmarkStart w:id="157" w:name="_Ref66393393"/>
      <w:r>
        <w:rPr>
          <w:b/>
          <w:bCs/>
        </w:rPr>
        <w:t xml:space="preserve">Tabelle </w:t>
      </w:r>
      <w:r>
        <w:rPr>
          <w:b/>
          <w:bCs/>
        </w:rPr>
        <w:fldChar w:fldCharType="begin"/>
      </w:r>
      <w:r>
        <w:rPr>
          <w:b/>
          <w:bCs/>
        </w:rPr>
        <w:instrText> SEQ Tabelle \* ARABIC </w:instrText>
      </w:r>
      <w:r>
        <w:rPr>
          <w:b/>
          <w:bCs/>
        </w:rPr>
        <w:fldChar w:fldCharType="separate"/>
      </w:r>
      <w:r>
        <w:rPr>
          <w:b/>
          <w:bCs/>
        </w:rPr>
        <w:t>1</w:t>
      </w:r>
      <w:r>
        <w:rPr>
          <w:b/>
          <w:bCs/>
        </w:rPr>
        <w:fldChar w:fldCharType="end"/>
      </w:r>
      <w:bookmarkEnd w:id="157"/>
      <w:r>
        <w:rPr>
          <w:b/>
          <w:bCs/>
        </w:rPr>
        <w:t>:</w:t>
      </w:r>
      <w:r>
        <w:rPr/>
        <w:t xml:space="preserve"> Ergebnisse der Kreuzvalidierung </w:t>
      </w:r>
      <w:r>
        <w:fldChar w:fldCharType="begin"/>
      </w:r>
      <w:r>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Pr/>
        <w:fldChar w:fldCharType="separate"/>
      </w:r>
      <w:bookmarkStart w:id="158" w:name="__Fieldmark__1538_2337847765"/>
      <w:r>
        <w:rPr/>
        <w:t>[</w:t>
      </w:r>
      <w:bookmarkStart w:id="159" w:name="__Fieldmark__3446_983630037"/>
      <w:r>
        <w:rPr/>
        <w:t>36]</w:t>
      </w:r>
      <w:r>
        <w:rPr/>
      </w:r>
      <w:r>
        <w:rPr/>
        <w:fldChar w:fldCharType="end"/>
      </w:r>
      <w:bookmarkEnd w:id="158"/>
      <w:bookmarkEnd w:id="159"/>
      <w:r>
        <w:rPr/>
        <w:t xml:space="preserve">. Alle Angaben sind in Prozent. Es sind nur die Ergebnisse mit den jeweils besten Parametern angegeben. Für eine Beschreibung der einzelnen Werte siehe </w:t>
      </w:r>
      <w:r>
        <w:rPr/>
        <w:fldChar w:fldCharType="begin"/>
      </w:r>
      <w:r>
        <w:rPr/>
        <w:instrText> REF _Ref66643850 \r \h </w:instrText>
      </w:r>
      <w:r>
        <w:rPr/>
        <w:fldChar w:fldCharType="separate"/>
      </w:r>
      <w:r>
        <w:rPr/>
        <w:t>3.1.4</w:t>
      </w:r>
      <w:r>
        <w:rPr/>
        <w:fldChar w:fldCharType="end"/>
      </w:r>
      <w:r>
        <w:rPr/>
        <w:t xml:space="preserve">)  </w:t>
      </w:r>
    </w:p>
    <w:tbl>
      <w:tblPr>
        <w:tblW w:w="5000" w:type="pct"/>
        <w:jc w:val="center"/>
        <w:tblInd w:w="0" w:type="dxa"/>
        <w:tblBorders>
          <w:top w:val="single" w:sz="8" w:space="0" w:color="000000"/>
          <w:bottom w:val="single" w:sz="4" w:space="0" w:color="000000"/>
          <w:insideH w:val="single" w:sz="4" w:space="0" w:color="000000"/>
        </w:tblBorders>
        <w:tblCellMar>
          <w:top w:w="0" w:type="dxa"/>
          <w:left w:w="0" w:type="dxa"/>
          <w:bottom w:w="0" w:type="dxa"/>
          <w:right w:w="0" w:type="dxa"/>
        </w:tblCellMar>
        <w:tblLook w:noVBand="1" w:val="04a0" w:noHBand="0" w:lastColumn="0" w:firstColumn="1" w:lastRow="0" w:firstRow="1"/>
      </w:tblPr>
      <w:tblGrid>
        <w:gridCol w:w="1961"/>
        <w:gridCol w:w="1414"/>
        <w:gridCol w:w="1413"/>
        <w:gridCol w:w="1412"/>
        <w:gridCol w:w="1413"/>
        <w:gridCol w:w="1412"/>
      </w:tblGrid>
      <w:tr>
        <w:trPr/>
        <w:tc>
          <w:tcPr>
            <w:tcW w:w="1961" w:type="dxa"/>
            <w:tcBorders>
              <w:top w:val="single" w:sz="8" w:space="0" w:color="000000"/>
              <w:bottom w:val="single" w:sz="4" w:space="0" w:color="000000"/>
              <w:insideH w:val="single" w:sz="4" w:space="0" w:color="000000"/>
            </w:tcBorders>
            <w:shd w:fill="auto" w:val="clear"/>
            <w:vAlign w:val="center"/>
          </w:tcPr>
          <w:p>
            <w:pPr>
              <w:pStyle w:val="TabelleBA"/>
              <w:spacing w:lineRule="auto" w:line="240"/>
              <w:jc w:val="both"/>
              <w:rPr>
                <w:b/>
                <w:b/>
                <w:szCs w:val="22"/>
                <w:lang w:val="de-DE"/>
              </w:rPr>
            </w:pPr>
            <w:r>
              <w:rPr>
                <w:b/>
                <w:szCs w:val="22"/>
                <w:lang w:val="de-DE"/>
              </w:rPr>
              <w:t>Kern-Methode</w:t>
            </w:r>
          </w:p>
        </w:tc>
        <w:tc>
          <w:tcPr>
            <w:tcW w:w="1414" w:type="dxa"/>
            <w:tcBorders>
              <w:top w:val="single" w:sz="8" w:space="0" w:color="000000"/>
              <w:bottom w:val="single" w:sz="4" w:space="0" w:color="000000"/>
              <w:insideH w:val="single" w:sz="4" w:space="0" w:color="000000"/>
            </w:tcBorders>
            <w:shd w:fill="auto" w:val="clear"/>
            <w:vAlign w:val="center"/>
          </w:tcPr>
          <w:p>
            <w:pPr>
              <w:pStyle w:val="TabelleBA"/>
              <w:spacing w:lineRule="auto" w:line="240"/>
              <w:rPr>
                <w:b/>
                <w:b/>
                <w:szCs w:val="22"/>
                <w:lang w:val="de-DE"/>
              </w:rPr>
            </w:pPr>
            <w:r>
              <w:rPr>
                <w:b/>
                <w:szCs w:val="22"/>
                <w:lang w:val="de-DE"/>
              </w:rPr>
              <w:t>Sensitivität</w:t>
            </w:r>
          </w:p>
        </w:tc>
        <w:tc>
          <w:tcPr>
            <w:tcW w:w="1413" w:type="dxa"/>
            <w:tcBorders>
              <w:top w:val="single" w:sz="8" w:space="0" w:color="000000"/>
              <w:bottom w:val="single" w:sz="4" w:space="0" w:color="000000"/>
              <w:insideH w:val="single" w:sz="4" w:space="0" w:color="000000"/>
            </w:tcBorders>
            <w:shd w:fill="auto" w:val="clear"/>
            <w:vAlign w:val="center"/>
          </w:tcPr>
          <w:p>
            <w:pPr>
              <w:pStyle w:val="TabelleBA"/>
              <w:spacing w:lineRule="auto" w:line="240"/>
              <w:rPr>
                <w:b/>
                <w:b/>
                <w:szCs w:val="22"/>
                <w:lang w:val="de-DE"/>
              </w:rPr>
            </w:pPr>
            <w:r>
              <w:rPr>
                <w:b/>
                <w:szCs w:val="22"/>
                <w:lang w:val="de-DE"/>
              </w:rPr>
              <w:t>Spezifität</w:t>
            </w:r>
          </w:p>
        </w:tc>
        <w:tc>
          <w:tcPr>
            <w:tcW w:w="1412" w:type="dxa"/>
            <w:tcBorders>
              <w:top w:val="single" w:sz="8" w:space="0" w:color="000000"/>
              <w:bottom w:val="single" w:sz="4" w:space="0" w:color="000000"/>
              <w:insideH w:val="single" w:sz="4" w:space="0" w:color="000000"/>
            </w:tcBorders>
            <w:shd w:fill="auto" w:val="clear"/>
          </w:tcPr>
          <w:p>
            <w:pPr>
              <w:pStyle w:val="TabelleBA"/>
              <w:spacing w:lineRule="auto" w:line="240"/>
              <w:rPr>
                <w:b/>
                <w:b/>
                <w:szCs w:val="22"/>
                <w:lang w:val="de-DE"/>
              </w:rPr>
            </w:pPr>
            <w:r>
              <w:rPr>
                <w:b/>
                <w:szCs w:val="22"/>
                <w:lang w:val="de-DE"/>
              </w:rPr>
              <w:t>Genauigkeit</w:t>
            </w:r>
          </w:p>
        </w:tc>
        <w:tc>
          <w:tcPr>
            <w:tcW w:w="1413" w:type="dxa"/>
            <w:tcBorders>
              <w:top w:val="single" w:sz="8" w:space="0" w:color="000000"/>
              <w:bottom w:val="single" w:sz="4" w:space="0" w:color="000000"/>
              <w:insideH w:val="single" w:sz="4" w:space="0" w:color="000000"/>
            </w:tcBorders>
            <w:shd w:fill="auto" w:val="clear"/>
          </w:tcPr>
          <w:p>
            <w:pPr>
              <w:pStyle w:val="TabelleBA"/>
              <w:spacing w:lineRule="auto" w:line="240"/>
              <w:rPr>
                <w:b/>
                <w:b/>
                <w:bCs/>
                <w:szCs w:val="22"/>
                <w:lang w:val="de-DE"/>
              </w:rPr>
            </w:pPr>
            <w:r>
              <w:rPr>
                <w:b/>
                <w:bCs/>
                <w:szCs w:val="22"/>
              </w:rPr>
              <w:t>F-Maß</w:t>
            </w:r>
          </w:p>
        </w:tc>
        <w:tc>
          <w:tcPr>
            <w:tcW w:w="1412" w:type="dxa"/>
            <w:tcBorders>
              <w:top w:val="single" w:sz="8" w:space="0" w:color="000000"/>
              <w:bottom w:val="single" w:sz="4" w:space="0" w:color="000000"/>
              <w:insideH w:val="single" w:sz="4" w:space="0" w:color="000000"/>
            </w:tcBorders>
            <w:shd w:fill="auto" w:val="clear"/>
          </w:tcPr>
          <w:p>
            <w:pPr>
              <w:pStyle w:val="TabelleBA"/>
              <w:spacing w:lineRule="auto" w:line="240"/>
              <w:rPr>
                <w:b/>
                <w:b/>
                <w:szCs w:val="22"/>
                <w:lang w:val="de-DE"/>
              </w:rPr>
            </w:pPr>
            <w:r>
              <w:rPr>
                <w:b/>
                <w:szCs w:val="22"/>
                <w:lang w:val="de-DE"/>
              </w:rPr>
              <w:t>AUC</w:t>
            </w:r>
          </w:p>
        </w:tc>
      </w:tr>
      <w:tr>
        <w:trPr/>
        <w:tc>
          <w:tcPr>
            <w:tcW w:w="1961" w:type="dxa"/>
            <w:tcBorders>
              <w:top w:val="single" w:sz="4" w:space="0" w:color="000000"/>
              <w:bottom w:val="single" w:sz="4" w:space="0" w:color="000000"/>
              <w:insideH w:val="single" w:sz="4" w:space="0" w:color="000000"/>
            </w:tcBorders>
            <w:shd w:fill="auto" w:val="clear"/>
            <w:vAlign w:val="center"/>
          </w:tcPr>
          <w:p>
            <w:pPr>
              <w:pStyle w:val="TabelleBA"/>
              <w:spacing w:lineRule="auto" w:line="240"/>
              <w:jc w:val="both"/>
              <w:rPr>
                <w:i/>
                <w:i/>
                <w:iCs/>
                <w:szCs w:val="22"/>
                <w:lang w:val="de-DE"/>
              </w:rPr>
            </w:pPr>
            <w:r>
              <w:rPr>
                <w:i/>
                <w:iCs/>
                <w:szCs w:val="22"/>
                <w:lang w:val="de-DE"/>
              </w:rPr>
              <w:t xml:space="preserve">all-paths graph </w:t>
            </w:r>
          </w:p>
        </w:tc>
        <w:tc>
          <w:tcPr>
            <w:tcW w:w="1414" w:type="dxa"/>
            <w:tcBorders>
              <w:top w:val="single" w:sz="4" w:space="0" w:color="000000"/>
              <w:bottom w:val="single" w:sz="4" w:space="0" w:color="000000"/>
              <w:insideH w:val="single" w:sz="4" w:space="0" w:color="000000"/>
            </w:tcBorders>
            <w:shd w:fill="auto" w:val="clear"/>
            <w:vAlign w:val="center"/>
          </w:tcPr>
          <w:p>
            <w:pPr>
              <w:pStyle w:val="TabelleBA"/>
              <w:spacing w:lineRule="auto" w:line="240"/>
              <w:rPr>
                <w:szCs w:val="22"/>
                <w:lang w:val="de-DE"/>
              </w:rPr>
            </w:pPr>
            <w:r>
              <w:rPr>
                <w:szCs w:val="22"/>
                <w:lang w:val="de-DE"/>
              </w:rPr>
              <w:t>81.7</w:t>
            </w:r>
          </w:p>
        </w:tc>
        <w:tc>
          <w:tcPr>
            <w:tcW w:w="1413" w:type="dxa"/>
            <w:tcBorders>
              <w:top w:val="single" w:sz="4" w:space="0" w:color="000000"/>
              <w:bottom w:val="single" w:sz="4" w:space="0" w:color="000000"/>
              <w:insideH w:val="single" w:sz="4" w:space="0" w:color="000000"/>
            </w:tcBorders>
            <w:shd w:fill="auto" w:val="clear"/>
            <w:vAlign w:val="center"/>
          </w:tcPr>
          <w:p>
            <w:pPr>
              <w:pStyle w:val="TabelleBA"/>
              <w:spacing w:lineRule="auto" w:line="240"/>
              <w:rPr>
                <w:szCs w:val="22"/>
                <w:lang w:val="de-DE"/>
              </w:rPr>
            </w:pPr>
            <w:r>
              <w:rPr>
                <w:szCs w:val="22"/>
                <w:lang w:val="de-DE"/>
              </w:rPr>
              <w:t>71.8</w:t>
            </w:r>
          </w:p>
        </w:tc>
        <w:tc>
          <w:tcPr>
            <w:tcW w:w="1412" w:type="dxa"/>
            <w:tcBorders>
              <w:top w:val="single" w:sz="4" w:space="0" w:color="000000"/>
              <w:bottom w:val="single" w:sz="4" w:space="0" w:color="000000"/>
              <w:insideH w:val="single" w:sz="4" w:space="0" w:color="000000"/>
            </w:tcBorders>
            <w:shd w:fill="auto" w:val="clear"/>
          </w:tcPr>
          <w:p>
            <w:pPr>
              <w:pStyle w:val="TabelleBA"/>
              <w:spacing w:lineRule="auto" w:line="240"/>
              <w:rPr>
                <w:b/>
                <w:b/>
                <w:bCs/>
                <w:szCs w:val="22"/>
                <w:lang w:val="de-DE"/>
              </w:rPr>
            </w:pPr>
            <w:r>
              <w:rPr>
                <w:b/>
                <w:bCs/>
                <w:szCs w:val="22"/>
                <w:lang w:val="de-DE"/>
              </w:rPr>
              <w:t>76.6</w:t>
            </w:r>
          </w:p>
        </w:tc>
        <w:tc>
          <w:tcPr>
            <w:tcW w:w="1413" w:type="dxa"/>
            <w:tcBorders>
              <w:top w:val="single" w:sz="4" w:space="0" w:color="000000"/>
              <w:bottom w:val="single" w:sz="4" w:space="0" w:color="000000"/>
              <w:insideH w:val="single" w:sz="4" w:space="0" w:color="000000"/>
            </w:tcBorders>
            <w:shd w:fill="auto" w:val="clear"/>
          </w:tcPr>
          <w:p>
            <w:pPr>
              <w:pStyle w:val="TabelleBA"/>
              <w:spacing w:lineRule="auto" w:line="240"/>
              <w:rPr>
                <w:szCs w:val="22"/>
                <w:lang w:val="de-DE"/>
              </w:rPr>
            </w:pPr>
            <w:r>
              <w:rPr>
                <w:szCs w:val="22"/>
                <w:lang w:val="de-DE"/>
              </w:rPr>
              <w:t>79.0</w:t>
            </w:r>
          </w:p>
        </w:tc>
        <w:tc>
          <w:tcPr>
            <w:tcW w:w="1412" w:type="dxa"/>
            <w:tcBorders>
              <w:top w:val="single" w:sz="4" w:space="0" w:color="000000"/>
              <w:bottom w:val="single" w:sz="4" w:space="0" w:color="000000"/>
              <w:insideH w:val="single" w:sz="4" w:space="0" w:color="000000"/>
            </w:tcBorders>
            <w:shd w:fill="auto" w:val="clear"/>
          </w:tcPr>
          <w:p>
            <w:pPr>
              <w:pStyle w:val="TabelleBA"/>
              <w:spacing w:lineRule="auto" w:line="240"/>
              <w:rPr>
                <w:szCs w:val="22"/>
                <w:lang w:val="de-DE"/>
              </w:rPr>
            </w:pPr>
            <w:r>
              <w:rPr>
                <w:szCs w:val="22"/>
                <w:lang w:val="de-DE"/>
              </w:rPr>
              <w:t>84.6</w:t>
            </w:r>
          </w:p>
        </w:tc>
      </w:tr>
      <w:tr>
        <w:trPr/>
        <w:tc>
          <w:tcPr>
            <w:tcW w:w="1961" w:type="dxa"/>
            <w:tcBorders>
              <w:top w:val="single" w:sz="4" w:space="0" w:color="000000"/>
              <w:bottom w:val="single" w:sz="4" w:space="0" w:color="000000"/>
              <w:insideH w:val="single" w:sz="4" w:space="0" w:color="000000"/>
            </w:tcBorders>
            <w:shd w:fill="auto" w:val="clear"/>
            <w:vAlign w:val="center"/>
          </w:tcPr>
          <w:p>
            <w:pPr>
              <w:pStyle w:val="TabelleBA"/>
              <w:spacing w:lineRule="auto" w:line="240"/>
              <w:jc w:val="both"/>
              <w:rPr>
                <w:i/>
                <w:i/>
                <w:iCs/>
                <w:szCs w:val="22"/>
                <w:lang w:val="de-DE"/>
              </w:rPr>
            </w:pPr>
            <w:r>
              <w:rPr>
                <w:i/>
                <w:iCs/>
                <w:szCs w:val="22"/>
                <w:lang w:val="de-DE"/>
              </w:rPr>
              <w:t>shallow linguistic</w:t>
            </w:r>
          </w:p>
        </w:tc>
        <w:tc>
          <w:tcPr>
            <w:tcW w:w="1414" w:type="dxa"/>
            <w:tcBorders>
              <w:top w:val="single" w:sz="4" w:space="0" w:color="000000"/>
              <w:bottom w:val="single" w:sz="4" w:space="0" w:color="000000"/>
              <w:insideH w:val="single" w:sz="4" w:space="0" w:color="000000"/>
            </w:tcBorders>
            <w:shd w:fill="auto" w:val="clear"/>
            <w:vAlign w:val="center"/>
          </w:tcPr>
          <w:p>
            <w:pPr>
              <w:pStyle w:val="TabelleBA"/>
              <w:spacing w:lineRule="auto" w:line="240"/>
              <w:rPr>
                <w:szCs w:val="22"/>
                <w:lang w:val="de-DE"/>
              </w:rPr>
            </w:pPr>
            <w:r>
              <w:rPr>
                <w:szCs w:val="22"/>
                <w:lang w:val="de-DE"/>
              </w:rPr>
              <w:t>79.5</w:t>
            </w:r>
          </w:p>
        </w:tc>
        <w:tc>
          <w:tcPr>
            <w:tcW w:w="1413" w:type="dxa"/>
            <w:tcBorders>
              <w:top w:val="single" w:sz="4" w:space="0" w:color="000000"/>
              <w:bottom w:val="single" w:sz="4" w:space="0" w:color="000000"/>
              <w:insideH w:val="single" w:sz="4" w:space="0" w:color="000000"/>
            </w:tcBorders>
            <w:shd w:fill="auto" w:val="clear"/>
            <w:vAlign w:val="center"/>
          </w:tcPr>
          <w:p>
            <w:pPr>
              <w:pStyle w:val="TabelleBA"/>
              <w:spacing w:lineRule="auto" w:line="240"/>
              <w:rPr>
                <w:szCs w:val="22"/>
                <w:lang w:val="de-DE"/>
              </w:rPr>
            </w:pPr>
            <w:r>
              <w:rPr>
                <w:szCs w:val="22"/>
                <w:lang w:val="de-DE"/>
              </w:rPr>
              <w:t>70.2</w:t>
            </w:r>
          </w:p>
        </w:tc>
        <w:tc>
          <w:tcPr>
            <w:tcW w:w="1412" w:type="dxa"/>
            <w:tcBorders>
              <w:top w:val="single" w:sz="4" w:space="0" w:color="000000"/>
              <w:bottom w:val="single" w:sz="4" w:space="0" w:color="000000"/>
              <w:insideH w:val="single" w:sz="4" w:space="0" w:color="000000"/>
            </w:tcBorders>
            <w:shd w:fill="auto" w:val="clear"/>
          </w:tcPr>
          <w:p>
            <w:pPr>
              <w:pStyle w:val="TabelleBA"/>
              <w:spacing w:lineRule="auto" w:line="240"/>
              <w:rPr>
                <w:b/>
                <w:b/>
                <w:bCs/>
                <w:szCs w:val="22"/>
                <w:lang w:val="de-DE"/>
              </w:rPr>
            </w:pPr>
            <w:r>
              <w:rPr>
                <w:b/>
                <w:bCs/>
                <w:szCs w:val="22"/>
                <w:lang w:val="de-DE"/>
              </w:rPr>
              <w:t>75.0</w:t>
            </w:r>
          </w:p>
        </w:tc>
        <w:tc>
          <w:tcPr>
            <w:tcW w:w="1413" w:type="dxa"/>
            <w:tcBorders>
              <w:top w:val="single" w:sz="4" w:space="0" w:color="000000"/>
              <w:bottom w:val="single" w:sz="4" w:space="0" w:color="000000"/>
              <w:insideH w:val="single" w:sz="4" w:space="0" w:color="000000"/>
            </w:tcBorders>
            <w:shd w:fill="auto" w:val="clear"/>
          </w:tcPr>
          <w:p>
            <w:pPr>
              <w:pStyle w:val="TabelleBA"/>
              <w:spacing w:lineRule="auto" w:line="240"/>
              <w:rPr>
                <w:szCs w:val="22"/>
                <w:lang w:val="de-DE"/>
              </w:rPr>
            </w:pPr>
            <w:r>
              <w:rPr>
                <w:szCs w:val="22"/>
                <w:lang w:val="de-DE"/>
              </w:rPr>
              <w:t>77.2</w:t>
            </w:r>
          </w:p>
        </w:tc>
        <w:tc>
          <w:tcPr>
            <w:tcW w:w="1412" w:type="dxa"/>
            <w:tcBorders>
              <w:top w:val="single" w:sz="4" w:space="0" w:color="000000"/>
              <w:bottom w:val="single" w:sz="4" w:space="0" w:color="000000"/>
              <w:insideH w:val="single" w:sz="4" w:space="0" w:color="000000"/>
            </w:tcBorders>
            <w:shd w:fill="auto" w:val="clear"/>
          </w:tcPr>
          <w:p>
            <w:pPr>
              <w:pStyle w:val="TabelleBA"/>
              <w:spacing w:lineRule="auto" w:line="240"/>
              <w:rPr>
                <w:szCs w:val="22"/>
                <w:lang w:val="de-DE"/>
              </w:rPr>
            </w:pPr>
            <w:r>
              <w:rPr>
                <w:szCs w:val="22"/>
                <w:lang w:val="de-DE"/>
              </w:rPr>
              <w:t>82.5</w:t>
            </w:r>
          </w:p>
        </w:tc>
      </w:tr>
      <w:tr>
        <w:trPr/>
        <w:tc>
          <w:tcPr>
            <w:tcW w:w="1961" w:type="dxa"/>
            <w:tcBorders>
              <w:top w:val="single" w:sz="8" w:space="0" w:color="000000"/>
              <w:bottom w:val="single" w:sz="8" w:space="0" w:color="000000"/>
              <w:insideH w:val="single" w:sz="8" w:space="0" w:color="000000"/>
            </w:tcBorders>
            <w:shd w:fill="auto" w:val="clear"/>
            <w:vAlign w:val="center"/>
          </w:tcPr>
          <w:p>
            <w:pPr>
              <w:pStyle w:val="TabelleBA"/>
              <w:spacing w:lineRule="auto" w:line="240"/>
              <w:jc w:val="both"/>
              <w:rPr>
                <w:szCs w:val="22"/>
                <w:lang w:val="de-DE"/>
              </w:rPr>
            </w:pPr>
            <w:r>
              <w:rPr>
                <w:szCs w:val="22"/>
                <w:lang w:val="de-DE"/>
              </w:rPr>
              <w:t>kombiniert</w:t>
            </w:r>
          </w:p>
        </w:tc>
        <w:tc>
          <w:tcPr>
            <w:tcW w:w="1414" w:type="dxa"/>
            <w:tcBorders>
              <w:top w:val="single" w:sz="8" w:space="0" w:color="000000"/>
              <w:bottom w:val="single" w:sz="8" w:space="0" w:color="000000"/>
              <w:insideH w:val="single" w:sz="8" w:space="0" w:color="000000"/>
            </w:tcBorders>
            <w:shd w:fill="auto" w:val="clear"/>
            <w:vAlign w:val="center"/>
          </w:tcPr>
          <w:p>
            <w:pPr>
              <w:pStyle w:val="TabelleBA"/>
              <w:spacing w:lineRule="auto" w:line="240"/>
              <w:rPr>
                <w:szCs w:val="22"/>
                <w:lang w:val="de-DE"/>
              </w:rPr>
            </w:pPr>
            <w:r>
              <w:rPr>
                <w:szCs w:val="22"/>
                <w:lang w:val="de-DE"/>
              </w:rPr>
              <w:t>68.5</w:t>
            </w:r>
          </w:p>
        </w:tc>
        <w:tc>
          <w:tcPr>
            <w:tcW w:w="1413" w:type="dxa"/>
            <w:tcBorders>
              <w:top w:val="single" w:sz="8" w:space="0" w:color="000000"/>
              <w:bottom w:val="single" w:sz="8" w:space="0" w:color="000000"/>
              <w:insideH w:val="single" w:sz="8" w:space="0" w:color="000000"/>
            </w:tcBorders>
            <w:shd w:fill="auto" w:val="clear"/>
            <w:vAlign w:val="center"/>
          </w:tcPr>
          <w:p>
            <w:pPr>
              <w:pStyle w:val="TabelleBA"/>
              <w:spacing w:lineRule="auto" w:line="240"/>
              <w:rPr>
                <w:szCs w:val="22"/>
                <w:lang w:val="de-DE"/>
              </w:rPr>
            </w:pPr>
            <w:r>
              <w:rPr>
                <w:szCs w:val="22"/>
                <w:lang w:val="de-DE"/>
              </w:rPr>
              <w:t>81.6</w:t>
            </w:r>
          </w:p>
        </w:tc>
        <w:tc>
          <w:tcPr>
            <w:tcW w:w="1412" w:type="dxa"/>
            <w:tcBorders>
              <w:top w:val="single" w:sz="8" w:space="0" w:color="000000"/>
              <w:bottom w:val="single" w:sz="8" w:space="0" w:color="000000"/>
              <w:insideH w:val="single" w:sz="8" w:space="0" w:color="000000"/>
            </w:tcBorders>
            <w:shd w:fill="auto" w:val="clear"/>
          </w:tcPr>
          <w:p>
            <w:pPr>
              <w:pStyle w:val="TabelleBA"/>
              <w:spacing w:lineRule="auto" w:line="240"/>
              <w:rPr>
                <w:b/>
                <w:b/>
                <w:bCs/>
                <w:szCs w:val="22"/>
                <w:lang w:val="de-DE"/>
              </w:rPr>
            </w:pPr>
            <w:r>
              <w:rPr>
                <w:b/>
                <w:bCs/>
                <w:szCs w:val="22"/>
                <w:lang w:val="de-DE"/>
              </w:rPr>
              <w:t>80.5</w:t>
            </w:r>
          </w:p>
        </w:tc>
        <w:tc>
          <w:tcPr>
            <w:tcW w:w="1413" w:type="dxa"/>
            <w:tcBorders>
              <w:top w:val="single" w:sz="8" w:space="0" w:color="000000"/>
              <w:bottom w:val="single" w:sz="8" w:space="0" w:color="000000"/>
              <w:insideH w:val="single" w:sz="8" w:space="0" w:color="000000"/>
            </w:tcBorders>
            <w:shd w:fill="auto" w:val="clear"/>
          </w:tcPr>
          <w:p>
            <w:pPr>
              <w:pStyle w:val="TabelleBA"/>
              <w:spacing w:lineRule="auto" w:line="240"/>
              <w:rPr>
                <w:szCs w:val="22"/>
                <w:lang w:val="de-DE"/>
              </w:rPr>
            </w:pPr>
            <w:r>
              <w:rPr>
                <w:szCs w:val="22"/>
                <w:lang w:val="de-DE"/>
              </w:rPr>
              <w:t>74.0</w:t>
            </w:r>
          </w:p>
        </w:tc>
        <w:tc>
          <w:tcPr>
            <w:tcW w:w="1412" w:type="dxa"/>
            <w:tcBorders>
              <w:top w:val="single" w:sz="8" w:space="0" w:color="000000"/>
              <w:bottom w:val="single" w:sz="8" w:space="0" w:color="000000"/>
              <w:insideH w:val="single" w:sz="8" w:space="0" w:color="000000"/>
            </w:tcBorders>
            <w:shd w:fill="auto" w:val="clear"/>
          </w:tcPr>
          <w:p>
            <w:pPr>
              <w:pStyle w:val="TabelleBA"/>
              <w:spacing w:lineRule="auto" w:line="240"/>
              <w:rPr>
                <w:szCs w:val="22"/>
                <w:lang w:val="de-DE"/>
              </w:rPr>
            </w:pPr>
            <w:r>
              <w:rPr>
                <w:szCs w:val="22"/>
                <w:lang w:val="de-DE"/>
              </w:rPr>
              <w:t>-</w:t>
            </w:r>
          </w:p>
        </w:tc>
      </w:tr>
    </w:tbl>
    <w:p>
      <w:pPr>
        <w:pStyle w:val="Normal"/>
        <w:rPr>
          <w:highlight w:val="white"/>
        </w:rPr>
      </w:pPr>
      <w:r>
        <w:rPr>
          <w:highlight w:val="white"/>
        </w:rPr>
      </w:r>
    </w:p>
    <w:p>
      <w:pPr>
        <w:pStyle w:val="Normal"/>
        <w:rPr>
          <w:highlight w:val="white"/>
        </w:rPr>
      </w:pPr>
      <w:r>
        <w:rPr>
          <w:shd w:fill="FFFFFF" w:val="clear"/>
        </w:rPr>
        <w:t xml:space="preserve">Der verwendete Datensatz wurde aus den Abstracts der 40000 ersten im Jahr 2009 veröffentlichten PubMed Artikel gebildet und anschließend von Hand mit den Labeln „True“ für eine bestehende funktionale Interaktion oder „False“ für keine funktionale Interaktion versehen. </w:t>
      </w:r>
      <w:r>
        <w:rPr>
          <w:b/>
          <w:bCs/>
          <w:shd w:fill="FFFFFF" w:val="clear"/>
        </w:rPr>
        <w:t>Das Klassifizieren in binäre Label ist, verglichen mit bereits existierenden CPI-Datensätzen, einzigartig.</w:t>
      </w:r>
      <w:r>
        <w:rPr>
          <w:shd w:fill="FFFFFF" w:val="clear"/>
        </w:rPr>
        <w:t xml:space="preserve"> So gibt es z.B. in dem häufig verwendeten BioCreativ VI Datensatz </w:t>
      </w:r>
      <w:r>
        <w:fldChar w:fldCharType="begin"/>
      </w:r>
      <w:r>
        <w:rPr/>
        <w:instrText>ADDIN CSL_CITATION {"citationItems":[{"id":"ITEM-1","itemData":{"URL":"https://biocreative.bioinformatics.udel.edu/media/store/files/2017/ChemProt_Corpus.zip","accessed":{"date-parts":[["2021","3","8"]]},"id":"ITEM-1","issued":{"date-parts":[["0"]]},"title":"ChemProt corpus: BioCreative VI","type":"webpage"},"uris":["http://www.mendeley.com/documents/?uuid=80d9d8ac-783e-48a8-b361-299badfa434e"]}],"mendeley":{"formattedCitation":"[41]","plainTextFormattedCitation":"[41]","previouslyFormattedCitation":"[41]"},"properties":{"noteIndex":0},"schema":"https://github.com/citation-style-language/schema/raw/master/csl-citation.json"}</w:instrText>
      </w:r>
      <w:r>
        <w:rPr/>
        <w:fldChar w:fldCharType="separate"/>
      </w:r>
      <w:bookmarkStart w:id="160" w:name="__Fieldmark__1623_2337847765"/>
      <w:r>
        <w:rPr/>
      </w:r>
      <w:r>
        <w:rPr>
          <w:shd w:fill="FFFFFF" w:val="clear"/>
        </w:rPr>
        <w:t>[</w:t>
      </w:r>
      <w:bookmarkStart w:id="161" w:name="__Fieldmark__3570_983630037"/>
      <w:r>
        <w:rPr>
          <w:shd w:fill="FFFFFF" w:val="clear"/>
        </w:rPr>
        <w:t>41]</w:t>
      </w:r>
      <w:r>
        <w:rPr/>
      </w:r>
      <w:r>
        <w:rPr/>
        <w:fldChar w:fldCharType="end"/>
      </w:r>
      <w:bookmarkEnd w:id="160"/>
      <w:bookmarkEnd w:id="161"/>
      <w:r>
        <w:rPr>
          <w:shd w:fill="FFFFFF" w:val="clear"/>
        </w:rPr>
        <w:t xml:space="preserve"> zehn verschiedene Label, welche die Art der CPI-Interaktion näher beschreiben. Der Fokus von BioCreativ VI liegt daher auf der genaueren Klassifizierung der gefundenen funktionalen Interaktionen und nicht auf dem Erkennen, ob eine funktionale Interaktionen überhaupt vorliegt.</w:t>
      </w:r>
    </w:p>
    <w:p>
      <w:pPr>
        <w:pStyle w:val="Normal"/>
        <w:rPr>
          <w:highlight w:val="white"/>
        </w:rPr>
      </w:pPr>
      <w:r>
        <w:rPr>
          <w:highlight w:val="white"/>
        </w:rPr>
      </w:r>
    </w:p>
    <w:p>
      <w:pPr>
        <w:pStyle w:val="Berschrift4"/>
        <w:rPr>
          <w:highlight w:val="white"/>
        </w:rPr>
      </w:pPr>
      <w:bookmarkStart w:id="162" w:name="_Ref66537442"/>
      <w:r>
        <w:rPr>
          <w:shd w:fill="FFFFFF" w:val="clear"/>
        </w:rPr>
        <w:t>BioBERT: a pre-trained biomedical language representation model for biomedical text mining (2019)</w:t>
      </w:r>
      <w:bookmarkEnd w:id="162"/>
    </w:p>
    <w:p>
      <w:pPr>
        <w:pStyle w:val="Normal"/>
        <w:rPr>
          <w:highlight w:val="white"/>
        </w:rPr>
      </w:pPr>
      <w:r>
        <w:rPr>
          <w:shd w:fill="FFFFFF" w:val="clear"/>
        </w:rPr>
        <w:t xml:space="preserve">BioBERT ist eine speziell trainierte Version von BERT für NLP von biomedizinischen Texten. Daher entsprechen sich die Aufbauten der beiden Modelle. In BERT werden Transformer ausgiebig genutzt, was, verglichen mit den in ELMO verwendeten </w:t>
      </w:r>
      <w:r>
        <w:rPr>
          <w:i/>
          <w:iCs/>
          <w:shd w:fill="FFFFFF" w:val="clear"/>
        </w:rPr>
        <w:t>long short-term memories</w:t>
      </w:r>
      <w:r>
        <w:rPr>
          <w:shd w:fill="FFFFFF" w:val="clear"/>
        </w:rPr>
        <w:t xml:space="preserve"> (bestimmte Art von RNN), zu einer besseren Effizienz führt. Reine Transformer bestehen aus einem Kodierer, zum Lesen des Inputtextes und einem Dekodierer für das Bearbeiten der bestimmten NLP</w:t>
        <w:noBreakHyphen/>
        <w:t xml:space="preserve">Aufgabe. Das Training von Transformern, ist auf die beiden Prozesse Vortraining </w:t>
      </w:r>
      <w:r>
        <w:rPr>
          <w:i/>
          <w:iCs/>
          <w:shd w:fill="FFFFFF" w:val="clear"/>
        </w:rPr>
        <w:t>(engl. pre</w:t>
        <w:noBreakHyphen/>
        <w:t>training)</w:t>
      </w:r>
      <w:r>
        <w:rPr>
          <w:shd w:fill="FFFFFF" w:val="clear"/>
        </w:rPr>
        <w:t xml:space="preserve"> und Feintuning </w:t>
      </w:r>
      <w:r>
        <w:rPr>
          <w:i/>
          <w:iCs/>
          <w:shd w:fill="FFFFFF" w:val="clear"/>
        </w:rPr>
        <w:t>(engl. finetuning)</w:t>
      </w:r>
      <w:r>
        <w:rPr>
          <w:shd w:fill="FFFFFF" w:val="clear"/>
        </w:rPr>
        <w:t xml:space="preserve"> aufgeteilt. Für das Vortraining von BERT (siehe </w:t>
      </w:r>
      <w:r>
        <w:rPr>
          <w:shd w:fill="FFFFFF" w:val="clear"/>
        </w:rPr>
        <w:fldChar w:fldCharType="begin"/>
      </w:r>
      <w:r>
        <w:rPr>
          <w:shd w:fill="FFFFFF" w:val="clear"/>
        </w:rPr>
        <w:instrText> REF _Ref66560442 \h </w:instrText>
      </w:r>
      <w:r>
        <w:rPr>
          <w:shd w:fill="FFFFFF" w:val="clear"/>
        </w:rPr>
        <w:fldChar w:fldCharType="separate"/>
      </w:r>
      <w:r>
        <w:rPr>
          <w:shd w:fill="FFFFFF" w:val="clear"/>
        </w:rPr>
        <w:t>Abbildung 10</w:t>
      </w:r>
      <w:r>
        <w:rPr>
          <w:shd w:fill="FFFFFF" w:val="clear"/>
        </w:rPr>
        <w:fldChar w:fldCharType="end"/>
      </w:r>
      <w:r>
        <w:rPr>
          <w:shd w:fill="FFFFFF" w:val="clear"/>
        </w:rPr>
        <w:t>) werden zwei Trainingsverfahren gleichzeitig durchgeführt:</w:t>
      </w:r>
    </w:p>
    <w:p>
      <w:pPr>
        <w:pStyle w:val="ListParagraph"/>
        <w:numPr>
          <w:ilvl w:val="0"/>
          <w:numId w:val="4"/>
        </w:numPr>
        <w:rPr/>
      </w:pPr>
      <w:r>
        <w:rPr/>
        <w:t xml:space="preserve">Bei </w:t>
      </w:r>
      <w:r>
        <w:rPr>
          <w:b/>
          <w:bCs/>
        </w:rPr>
        <w:t xml:space="preserve">MLM </w:t>
      </w:r>
      <w:r>
        <w:rPr>
          <w:b/>
          <w:bCs/>
          <w:i/>
          <w:iCs/>
        </w:rPr>
        <w:t>(masked language modeling)</w:t>
      </w:r>
      <w:r>
        <w:rPr>
          <w:b/>
          <w:bCs/>
        </w:rPr>
        <w:t xml:space="preserve"> </w:t>
      </w:r>
      <w:r>
        <w:rPr/>
        <w:t>maskiert das Modell zufällig eine Zeichenfolge innerhalb eines als Input erhaltenen Satzes und lernt diese vorherzusagen.</w:t>
      </w:r>
    </w:p>
    <w:p>
      <w:pPr>
        <w:pStyle w:val="ListParagraph"/>
        <w:numPr>
          <w:ilvl w:val="0"/>
          <w:numId w:val="4"/>
        </w:numPr>
        <w:rPr>
          <w:highlight w:val="white"/>
        </w:rPr>
      </w:pPr>
      <w:r>
        <w:rPr/>
        <w:t xml:space="preserve">Bei </w:t>
      </w:r>
      <w:r>
        <w:rPr>
          <w:b/>
          <w:bCs/>
        </w:rPr>
        <w:t xml:space="preserve">NSP </w:t>
      </w:r>
      <w:r>
        <w:rPr>
          <w:b/>
          <w:bCs/>
          <w:i/>
          <w:iCs/>
        </w:rPr>
        <w:t>(next sentence prediction)</w:t>
      </w:r>
      <w:r>
        <w:rPr>
          <w:b/>
          <w:bCs/>
        </w:rPr>
        <w:t xml:space="preserve"> </w:t>
      </w:r>
      <w:r>
        <w:rPr/>
        <w:t>bekommt das Modell zwei Sätze als Input und soll lernen zu prognostizieren, ob der zweite Satz auf den ersten folgt.</w:t>
      </w:r>
    </w:p>
    <w:p>
      <w:pPr>
        <w:pStyle w:val="Abbildung"/>
        <w:rPr/>
      </w:pPr>
      <w:r>
        <w:rPr/>
        <w:drawing>
          <wp:inline distT="0" distB="0" distL="0" distR="0">
            <wp:extent cx="3084195" cy="2900045"/>
            <wp:effectExtent l="0" t="0" r="0" b="0"/>
            <wp:docPr id="12" name="Grafik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1" descr=""/>
                    <pic:cNvPicPr>
                      <a:picLocks noChangeAspect="1" noChangeArrowheads="1"/>
                    </pic:cNvPicPr>
                  </pic:nvPicPr>
                  <pic:blipFill>
                    <a:blip r:embed="rId15"/>
                    <a:srcRect l="12026" t="7491" r="55934" b="71209"/>
                    <a:stretch>
                      <a:fillRect/>
                    </a:stretch>
                  </pic:blipFill>
                  <pic:spPr bwMode="auto">
                    <a:xfrm>
                      <a:off x="0" y="0"/>
                      <a:ext cx="3084195" cy="2900045"/>
                    </a:xfrm>
                    <a:prstGeom prst="rect">
                      <a:avLst/>
                    </a:prstGeom>
                  </pic:spPr>
                </pic:pic>
              </a:graphicData>
            </a:graphic>
          </wp:inline>
        </w:drawing>
      </w:r>
    </w:p>
    <w:p>
      <w:pPr>
        <w:pStyle w:val="Caption"/>
        <w:jc w:val="both"/>
        <w:rPr/>
      </w:pPr>
      <w:bookmarkStart w:id="163" w:name="_Ref66560442"/>
      <w:r>
        <w:rPr>
          <w:b/>
          <w:bCs/>
        </w:rPr>
        <w:t xml:space="preserve">Abbildung </w:t>
      </w:r>
      <w:r>
        <w:rPr>
          <w:b/>
          <w:bCs/>
        </w:rPr>
        <w:fldChar w:fldCharType="begin"/>
      </w:r>
      <w:r>
        <w:rPr>
          <w:b/>
          <w:bCs/>
        </w:rPr>
        <w:instrText> SEQ Abbildung \* ARABIC </w:instrText>
      </w:r>
      <w:r>
        <w:rPr>
          <w:b/>
          <w:bCs/>
        </w:rPr>
        <w:fldChar w:fldCharType="separate"/>
      </w:r>
      <w:r>
        <w:rPr>
          <w:b/>
          <w:bCs/>
        </w:rPr>
        <w:t>10</w:t>
      </w:r>
      <w:r>
        <w:rPr>
          <w:b/>
          <w:bCs/>
        </w:rPr>
        <w:fldChar w:fldCharType="end"/>
      </w:r>
      <w:bookmarkEnd w:id="163"/>
      <w:r>
        <w:rPr>
          <w:b/>
          <w:bCs/>
        </w:rPr>
        <w:t>:</w:t>
      </w:r>
      <w:r>
        <w:rPr/>
        <w:t xml:space="preserve"> Schemata zum Vortraining von BERT. Die beiden Sätze A und B in die Token </w:t>
      </w:r>
      <w:r>
        <w:rPr/>
      </w:r>
      <m:oMath xmlns:m="http://schemas.openxmlformats.org/officeDocument/2006/math">
        <m:r>
          <w:rPr>
            <w:rFonts w:ascii="Cambria Math" w:hAnsi="Cambria Math"/>
          </w:rPr>
          <m:t xml:space="preserve">Tok</m:t>
        </m:r>
      </m:oMath>
      <w:r>
        <w:rPr/>
        <w:t xml:space="preserve"> aufgeteilt und mache Token maskiert. Die Token werden anschließend mittels Worteinbettung in eine Vektorform </w:t>
      </w:r>
      <w:r>
        <w:rPr/>
      </w:r>
      <m:oMath xmlns:m="http://schemas.openxmlformats.org/officeDocument/2006/math">
        <m:r>
          <w:rPr>
            <w:rFonts w:ascii="Cambria Math" w:hAnsi="Cambria Math"/>
          </w:rPr>
          <m:t xml:space="preserve">E</m:t>
        </m:r>
      </m:oMath>
      <w:r>
        <w:rPr/>
        <w:t xml:space="preserve"> überführt und diese dem Kodierer für NSP und MLM zugeführt. Als Output gibt das neuronale Netz die binäre Variable  </w:t>
      </w:r>
      <w:r>
        <w:rPr/>
      </w:r>
      <m:oMath xmlns:m="http://schemas.openxmlformats.org/officeDocument/2006/math">
        <m:r>
          <w:rPr>
            <w:rFonts w:ascii="Cambria Math" w:hAnsi="Cambria Math"/>
          </w:rPr>
          <m:t xml:space="preserve">C</m:t>
        </m:r>
      </m:oMath>
      <w:r>
        <w:rPr/>
        <w:t xml:space="preserve"> als Ergebnis des NSP und </w:t>
      </w:r>
      <w:r>
        <w:rPr/>
      </w:r>
      <m:oMath xmlns:m="http://schemas.openxmlformats.org/officeDocument/2006/math">
        <m:r>
          <w:rPr>
            <w:rFonts w:ascii="Cambria Math" w:hAnsi="Cambria Math"/>
          </w:rPr>
          <m:t xml:space="preserve">T</m:t>
        </m:r>
      </m:oMath>
      <w:r>
        <w:rPr/>
        <w:t xml:space="preserve"> als Vorhersage des maskierten Tokens an.</w:t>
      </w:r>
    </w:p>
    <w:p>
      <w:pPr>
        <w:pStyle w:val="Normal"/>
        <w:rPr/>
      </w:pPr>
      <w:r>
        <w:rPr/>
      </w:r>
    </w:p>
    <w:p>
      <w:pPr>
        <w:pStyle w:val="Normal"/>
        <w:rPr/>
      </w:pPr>
      <w:r>
        <w:rPr/>
        <w:t>Für das Vortraining werden riesige Datenmengen ungelabelter Sätze benötigt. Bei BERT wurde hierfür ein Datensatz aus über 11000 Büchern (800 Millionen Wörter), sowie das englische Wikipedia (2,5 Milliarden Wörter) verwendet. Bei BioBERT wurden zusätzlich, je nach Ausführung, noch die PubMed Abtracts (4,5 Milliarden Wörter) oder die gesamten Artikel der PMC</w:t>
        <w:noBreakHyphen/>
        <w:t>Datenbank (13,5 Milliarden Wörter) verwendet. Als Ergebnis werden in beiden Arbeiten je die vortrainierten Sprachmodelle, welche gelernt haben, den Kontext eines Wortes in seiner Umgebung zu verstehen, veröffentlicht.</w:t>
      </w:r>
    </w:p>
    <w:p>
      <w:pPr>
        <w:pStyle w:val="Normal"/>
        <w:rPr>
          <w:highlight w:val="white"/>
        </w:rPr>
      </w:pPr>
      <w:r>
        <w:rPr/>
        <w:t>Beim Finetuning wird das Sprachmodell mit einem gelabelten Datensatz auf eine konkrete Aufgabe, wie z.B. dem CPI</w:t>
        <w:softHyphen/>
        <w:t xml:space="preserve"> Text Mining, trainiert. Dies wird im Kapitel </w:t>
      </w:r>
      <w:r>
        <w:rPr/>
        <w:fldChar w:fldCharType="begin"/>
      </w:r>
      <w:r>
        <w:rPr/>
        <w:instrText> REF _Ref66563724 \h </w:instrText>
      </w:r>
      <w:r>
        <w:rPr/>
        <w:fldChar w:fldCharType="separate"/>
      </w:r>
      <w:r>
        <w:rPr/>
        <w:t>Material und Methoden</w:t>
      </w:r>
      <w:r>
        <w:rPr/>
        <w:fldChar w:fldCharType="end"/>
      </w:r>
      <w:r>
        <w:rPr/>
        <w:t xml:space="preserve"> verwendet, um das BioBERT-Modell auf das CPI Text Mining vorzubereiten.                           </w:t>
      </w:r>
    </w:p>
    <w:p>
      <w:pPr>
        <w:pStyle w:val="Normal"/>
        <w:spacing w:lineRule="auto" w:line="259" w:before="0" w:after="160"/>
        <w:jc w:val="left"/>
        <w:rPr/>
      </w:pPr>
      <w:r>
        <w:rPr/>
      </w:r>
      <w:r>
        <w:br w:type="page"/>
      </w:r>
    </w:p>
    <w:p>
      <w:pPr>
        <w:pStyle w:val="Berschrift1"/>
        <w:numPr>
          <w:ilvl w:val="0"/>
          <w:numId w:val="2"/>
        </w:numPr>
        <w:rPr/>
      </w:pPr>
      <w:bookmarkStart w:id="164" w:name="_Toc66981158"/>
      <w:bookmarkStart w:id="165" w:name="_Toc66477600"/>
      <w:r>
        <w:rPr/>
        <w:t>Zielsetzung der Arbeit</w:t>
      </w:r>
      <w:bookmarkEnd w:id="164"/>
      <w:bookmarkEnd w:id="165"/>
    </w:p>
    <w:p>
      <w:pPr>
        <w:pStyle w:val="Normal"/>
        <w:rPr>
          <w:highlight w:val="white"/>
        </w:rPr>
      </w:pPr>
      <w:r>
        <w:rPr>
          <w:shd w:fill="FFFFFF" w:val="clear"/>
        </w:rPr>
        <w:t xml:space="preserve">Diese Bachelorarbeit soll, wie in der „Conclusion“ </w:t>
      </w:r>
      <w:r>
        <w:fldChar w:fldCharType="begin"/>
      </w:r>
      <w:r>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Pr/>
        <w:fldChar w:fldCharType="separate"/>
      </w:r>
      <w:bookmarkStart w:id="166" w:name="__Fieldmark__1690_2337847765"/>
      <w:r>
        <w:rPr/>
      </w:r>
      <w:r>
        <w:rPr>
          <w:shd w:fill="FFFFFF" w:val="clear"/>
        </w:rPr>
        <w:t>[</w:t>
      </w:r>
      <w:bookmarkStart w:id="167" w:name="__Fieldmark__3808_983630037"/>
      <w:r>
        <w:rPr>
          <w:shd w:fill="FFFFFF" w:val="clear"/>
        </w:rPr>
        <w:t>36]</w:t>
      </w:r>
      <w:r>
        <w:rPr/>
      </w:r>
      <w:r>
        <w:rPr/>
        <w:fldChar w:fldCharType="end"/>
      </w:r>
      <w:bookmarkEnd w:id="166"/>
      <w:bookmarkEnd w:id="167"/>
      <w:r>
        <w:rPr>
          <w:shd w:fill="FFFFFF" w:val="clear"/>
        </w:rPr>
        <w:t xml:space="preserve"> beschrieben, als Vergleich von Kern-Methoden mit auf tiefes Lernen basierende Ansätze dienen. Das verwendete Modell des tiefen Lernens ist dabei das vortrainierte BioBERT-Modell </w:t>
      </w:r>
      <w:r>
        <w:fldChar w:fldCharType="begin"/>
      </w:r>
      <w:r>
        <w:rPr/>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eviouslyFormattedCitation":"[40]"},"properties":{"noteIndex":0},"schema":"https://github.com/citation-style-language/schema/raw/master/csl-citation.json"}</w:instrText>
      </w:r>
      <w:r>
        <w:rPr/>
        <w:fldChar w:fldCharType="separate"/>
      </w:r>
      <w:bookmarkStart w:id="168" w:name="__Fieldmark__1697_2337847765"/>
      <w:r>
        <w:rPr/>
      </w:r>
      <w:r>
        <w:rPr>
          <w:shd w:fill="FFFFFF" w:val="clear"/>
        </w:rPr>
        <w:t>[</w:t>
      </w:r>
      <w:bookmarkStart w:id="169" w:name="__Fieldmark__3830_983630037"/>
      <w:r>
        <w:rPr>
          <w:shd w:fill="FFFFFF" w:val="clear"/>
        </w:rPr>
        <w:t>40]</w:t>
      </w:r>
      <w:r>
        <w:rPr/>
      </w:r>
      <w:r>
        <w:rPr/>
        <w:fldChar w:fldCharType="end"/>
      </w:r>
      <w:bookmarkEnd w:id="168"/>
      <w:bookmarkEnd w:id="169"/>
      <w:r>
        <w:rPr>
          <w:shd w:fill="FFFFFF" w:val="clear"/>
        </w:rPr>
        <w:t>. Um eine Vergleichbarkeit zu erreichen, wird der identische Datensatz verwendet. Es ergeben sich folgende Zwischenziele:</w:t>
      </w:r>
    </w:p>
    <w:p>
      <w:pPr>
        <w:pStyle w:val="Normal"/>
        <w:rPr/>
      </w:pPr>
      <w:r>
        <w:rPr/>
        <w:t xml:space="preserve">1) Überführen des Datensatzes in die notwendige Form     </w:t>
      </w:r>
    </w:p>
    <w:p>
      <w:pPr>
        <w:pStyle w:val="Normal"/>
        <w:rPr/>
      </w:pPr>
      <w:r>
        <w:rPr/>
        <w:t xml:space="preserve">2) Evaluieren des </w:t>
      </w:r>
      <w:r>
        <w:rPr>
          <w:shd w:fill="FFFFFF" w:val="clear"/>
        </w:rPr>
        <w:t xml:space="preserve">BioBERT-Modells über eine </w:t>
      </w:r>
      <w:r>
        <w:rPr>
          <w:shd w:fill="FFFFFF" w:val="clear"/>
        </w:rPr>
        <w:fldChar w:fldCharType="begin"/>
      </w:r>
      <w:r>
        <w:rPr>
          <w:shd w:fill="FFFFFF" w:val="clear"/>
        </w:rPr>
        <w:instrText> REF _Ref65328111 \h </w:instrText>
      </w:r>
      <w:r>
        <w:rPr>
          <w:shd w:fill="FFFFFF" w:val="clear"/>
        </w:rPr>
        <w:fldChar w:fldCharType="separate"/>
      </w:r>
      <w:r>
        <w:rPr>
          <w:shd w:fill="FFFFFF" w:val="clear"/>
        </w:rPr>
        <w:t>10-fache Kreuzvalidierung</w:t>
      </w:r>
      <w:r>
        <w:rPr>
          <w:shd w:fill="FFFFFF" w:val="clear"/>
        </w:rPr>
        <w:fldChar w:fldCharType="end"/>
      </w:r>
      <w:r>
        <w:rPr>
          <w:shd w:fill="FFFFFF" w:val="clear"/>
        </w:rPr>
        <w:t xml:space="preserve"> mit dem fertigen Datensatz</w:t>
      </w:r>
    </w:p>
    <w:p>
      <w:pPr>
        <w:pStyle w:val="Normal"/>
        <w:rPr/>
      </w:pPr>
      <w:r>
        <w:rPr/>
        <w:t>3) Bestimmen des Einflusses der Größe des verwendeten Trainingsdatensatzes auf die Klassifikation</w:t>
      </w:r>
    </w:p>
    <w:p>
      <w:pPr>
        <w:pStyle w:val="Normal"/>
        <w:spacing w:lineRule="auto" w:line="259" w:before="0" w:after="160"/>
        <w:jc w:val="left"/>
        <w:rPr/>
      </w:pPr>
      <w:r>
        <w:rPr/>
      </w:r>
      <w:r>
        <w:br w:type="page"/>
      </w:r>
    </w:p>
    <w:p>
      <w:pPr>
        <w:pStyle w:val="Berschrift1"/>
        <w:numPr>
          <w:ilvl w:val="0"/>
          <w:numId w:val="2"/>
        </w:numPr>
        <w:rPr/>
      </w:pPr>
      <w:bookmarkStart w:id="170" w:name="_Toc66477602"/>
      <w:bookmarkStart w:id="171" w:name="_Ref66563724"/>
      <w:commentRangeStart w:id="11"/>
      <w:r>
        <w:rPr/>
        <w:t>Material und Methoden</w:t>
      </w:r>
      <w:bookmarkStart w:id="172" w:name="_Toc66981159"/>
      <w:bookmarkEnd w:id="170"/>
      <w:bookmarkEnd w:id="171"/>
      <w:bookmarkEnd w:id="172"/>
      <w:commentRangeEnd w:id="11"/>
      <w:r>
        <w:commentReference w:id="11"/>
      </w:r>
      <w:r>
        <w:rPr/>
      </w:r>
    </w:p>
    <w:p>
      <w:pPr>
        <w:pStyle w:val="Normal"/>
        <w:rPr/>
      </w:pPr>
      <w:r>
        <w:rPr/>
        <w:t xml:space="preserve">In Kapitel </w:t>
      </w:r>
      <w:r>
        <w:rPr/>
        <w:fldChar w:fldCharType="begin"/>
      </w:r>
      <w:r>
        <w:rPr/>
        <w:instrText> REF _Ref66745652 \r \h </w:instrText>
      </w:r>
      <w:r>
        <w:rPr/>
        <w:fldChar w:fldCharType="separate"/>
      </w:r>
      <w:r>
        <w:rPr/>
        <w:t>3.1</w:t>
      </w:r>
      <w:r>
        <w:rPr/>
        <w:fldChar w:fldCharType="end"/>
      </w:r>
      <w:r>
        <w:rPr/>
        <w:t xml:space="preserve"> werden die Ausgangsbedingungen des praktischen Teils der Bachelorarbeit beschrieben, bevor in </w:t>
      </w:r>
      <w:r>
        <w:rPr/>
        <w:fldChar w:fldCharType="begin"/>
      </w:r>
      <w:r>
        <w:rPr/>
        <w:instrText> REF _Ref66654182 \r \h </w:instrText>
      </w:r>
      <w:r>
        <w:rPr/>
        <w:fldChar w:fldCharType="separate"/>
      </w:r>
      <w:r>
        <w:rPr/>
        <w:t>3.2</w:t>
      </w:r>
      <w:r>
        <w:rPr/>
        <w:fldChar w:fldCharType="end"/>
      </w:r>
      <w:r>
        <w:rPr/>
        <w:t xml:space="preserve">, </w:t>
      </w:r>
      <w:r>
        <w:rPr/>
        <w:fldChar w:fldCharType="begin"/>
      </w:r>
      <w:r>
        <w:rPr/>
        <w:instrText> REF _Ref66745689 \r \h </w:instrText>
      </w:r>
      <w:r>
        <w:rPr/>
        <w:fldChar w:fldCharType="separate"/>
      </w:r>
      <w:r>
        <w:rPr/>
        <w:t>3.3</w:t>
      </w:r>
      <w:r>
        <w:rPr/>
        <w:fldChar w:fldCharType="end"/>
      </w:r>
      <w:r>
        <w:rPr/>
        <w:t xml:space="preserve"> und </w:t>
      </w:r>
      <w:r>
        <w:rPr/>
        <w:fldChar w:fldCharType="begin"/>
      </w:r>
      <w:r>
        <w:rPr/>
        <w:instrText> REF _Ref66745693 \r \h </w:instrText>
      </w:r>
      <w:r>
        <w:rPr/>
        <w:fldChar w:fldCharType="separate"/>
      </w:r>
      <w:r>
        <w:rPr/>
        <w:t>3.4</w:t>
      </w:r>
      <w:r>
        <w:rPr/>
        <w:fldChar w:fldCharType="end"/>
      </w:r>
      <w:r>
        <w:rPr/>
        <w:t xml:space="preserve"> die Vorgehensweise beim Erreichen der Zwischenziele dargestellt ist.  </w:t>
      </w:r>
    </w:p>
    <w:p>
      <w:pPr>
        <w:pStyle w:val="Normal"/>
        <w:rPr/>
      </w:pPr>
      <w:r>
        <w:rPr/>
      </w:r>
    </w:p>
    <w:p>
      <w:pPr>
        <w:pStyle w:val="Berschrift2"/>
        <w:numPr>
          <w:ilvl w:val="1"/>
          <w:numId w:val="2"/>
        </w:numPr>
        <w:rPr/>
      </w:pPr>
      <w:bookmarkStart w:id="173" w:name="_Ref66745652"/>
      <w:bookmarkStart w:id="174" w:name="_Toc66981160"/>
      <w:r>
        <w:rPr/>
        <w:t>Grundlagen</w:t>
      </w:r>
      <w:bookmarkEnd w:id="173"/>
      <w:bookmarkEnd w:id="174"/>
    </w:p>
    <w:p>
      <w:pPr>
        <w:pStyle w:val="Berschrift3"/>
        <w:numPr>
          <w:ilvl w:val="2"/>
          <w:numId w:val="2"/>
        </w:numPr>
        <w:rPr/>
      </w:pPr>
      <w:bookmarkStart w:id="175" w:name="_Toc66981161"/>
      <w:r>
        <w:rPr/>
        <w:t>Systemeigenschaften</w:t>
      </w:r>
      <w:bookmarkEnd w:id="175"/>
    </w:p>
    <w:p>
      <w:pPr>
        <w:pStyle w:val="Normal"/>
        <w:rPr/>
      </w:pPr>
      <w:r>
        <w:rPr/>
        <w:t xml:space="preserve">Betriebssystem: </w:t>
        <w:tab/>
        <w:t>Ubuntu 18.04.5 LTS (Bionic Beaver)</w:t>
      </w:r>
      <w:r>
        <w:rPr>
          <w:rStyle w:val="Funotenanker"/>
          <w:rStyle w:val="Funotenanker"/>
        </w:rPr>
        <w:footnoteReference w:id="2"/>
      </w:r>
    </w:p>
    <w:p>
      <w:pPr>
        <w:pStyle w:val="Normal"/>
        <w:rPr/>
      </w:pPr>
      <w:r>
        <w:rPr/>
        <w:t>Prozessor:</w:t>
        <w:tab/>
        <w:tab/>
        <w:t>Intel</w:t>
      </w:r>
      <w:r>
        <w:rPr>
          <w:vertAlign w:val="superscript"/>
        </w:rPr>
        <w:t>®</w:t>
      </w:r>
      <w:r>
        <w:rPr/>
        <w:t xml:space="preserve"> Core</w:t>
      </w:r>
      <w:r>
        <w:rPr>
          <w:vertAlign w:val="superscript"/>
        </w:rPr>
        <w:t>™</w:t>
      </w:r>
      <w:r>
        <w:rPr/>
        <w:t xml:space="preserve"> i5-6600K CPU @ 4.20GHz</w:t>
      </w:r>
    </w:p>
    <w:p>
      <w:pPr>
        <w:pStyle w:val="Normal"/>
        <w:rPr/>
      </w:pPr>
      <w:r>
        <w:rPr/>
        <w:t>Grafikkarte:</w:t>
        <w:tab/>
        <w:tab/>
        <w:t>NVIDIA</w:t>
      </w:r>
      <w:r>
        <w:rPr>
          <w:vertAlign w:val="superscript"/>
        </w:rPr>
        <w:t>®</w:t>
      </w:r>
      <w:r>
        <w:rPr/>
        <w:t xml:space="preserve"> GeForce</w:t>
      </w:r>
      <w:r>
        <w:rPr>
          <w:vertAlign w:val="superscript"/>
        </w:rPr>
        <w:t>®</w:t>
      </w:r>
      <w:r>
        <w:rPr/>
        <w:t xml:space="preserve"> GTX 1060 6GB</w:t>
      </w:r>
    </w:p>
    <w:p>
      <w:pPr>
        <w:pStyle w:val="Normal"/>
        <w:rPr/>
      </w:pPr>
      <w:r>
        <w:rPr/>
        <w:t xml:space="preserve">Programmiersprache: </w:t>
        <w:tab/>
        <w:t>Python 3.6.9</w:t>
      </w:r>
    </w:p>
    <w:p>
      <w:pPr>
        <w:pStyle w:val="Normal"/>
        <w:rPr/>
      </w:pPr>
      <w:r>
        <w:rPr/>
      </w:r>
    </w:p>
    <w:p>
      <w:pPr>
        <w:pStyle w:val="Berschrift3"/>
        <w:numPr>
          <w:ilvl w:val="2"/>
          <w:numId w:val="2"/>
        </w:numPr>
        <w:rPr/>
      </w:pPr>
      <w:bookmarkStart w:id="176" w:name="_Toc66981162"/>
      <w:r>
        <w:rPr/>
        <w:t>Verwendete Software</w:t>
      </w:r>
      <w:bookmarkEnd w:id="176"/>
    </w:p>
    <w:p>
      <w:pPr>
        <w:pStyle w:val="Normal"/>
        <w:rPr/>
      </w:pPr>
      <w:r>
        <w:rPr/>
        <w:t>Bei dem verwendeten Modell handelt es sich um BioBERT-Base v1.1 (+ PubMed 1M). Dieses stammt, zusammen mit der Software für das Finetuning, von dem offiziellen GitHub BioBERT Repository</w:t>
      </w:r>
      <w:r>
        <w:rPr>
          <w:rStyle w:val="Funotenanker"/>
          <w:rStyle w:val="Funotenanker"/>
        </w:rPr>
        <w:footnoteReference w:id="3"/>
      </w:r>
      <w:r>
        <w:rPr/>
        <w:t>. Für diese Arbeit wurden die Skripte an wenigen Stellen ergänzt, bzw. neue Skripte hinzugefügt. Zudem wurde die Ordnerstruktur verändert. Jede Änderung wird an der entsprechenden Stelle in dieser Arbeit angegeben. Die Software, wie sie Letzen Endes zum Einsatz kam, ist auf GitHub in einem neuen Repository verfügbar.</w:t>
      </w:r>
      <w:r>
        <w:rPr>
          <w:rStyle w:val="Funotenanker"/>
          <w:rStyle w:val="Funotenanker"/>
        </w:rPr>
        <w:footnoteReference w:id="4"/>
      </w:r>
      <w:r>
        <w:rPr/>
        <w:t xml:space="preserve"> </w:t>
      </w:r>
    </w:p>
    <w:p>
      <w:pPr>
        <w:pStyle w:val="Normal"/>
        <w:rPr/>
      </w:pPr>
      <w:r>
        <w:rPr/>
        <w:t>Als Framework der Arbeit dient die TensorFlow Bibliothek, welche von der Google Brain Abteilung stammt, aber als Open Source Projekt weiterentwickelt wird. TensorFlow ist in Python und C++ geschrieben. Die Verwendung von BioBERT mit Pytorch, einer weiteren bekannten Open Source Bibliothek für maschinelles Lernen, ist ebenfalls möglich</w:t>
      </w:r>
      <w:r>
        <w:rPr>
          <w:rStyle w:val="Funotenanker"/>
          <w:rStyle w:val="Funotenanker"/>
        </w:rPr>
        <w:footnoteReference w:id="5"/>
      </w:r>
      <w:r>
        <w:rPr/>
        <w:t xml:space="preserve">.        </w:t>
      </w:r>
    </w:p>
    <w:p>
      <w:pPr>
        <w:pStyle w:val="Normal"/>
        <w:rPr/>
      </w:pPr>
      <w:r>
        <w:rPr/>
        <w:t xml:space="preserve">Grundsätzlich wird für die Arbeit mit BioBert eine virtuelle Umgebung verwendet. Das bringt den Vorteil mit sich, einen Überblick über die installierten Python-Pakete zu bewahren und diese besser organisieren zu können. Alle benötigten Pakte, mit den genauen in dieser Arbeit verwendeten Versionen, können der Datei </w:t>
      </w:r>
      <w:r>
        <w:rPr>
          <w:rStyle w:val="FilenameZchn"/>
        </w:rPr>
        <w:t>requirements.txt</w:t>
      </w:r>
      <w:r>
        <w:rPr/>
        <w:t xml:space="preserve"> entnommen werden und nach dem Klonen des GitHub Repositorys wie folgt installiert werden: </w:t>
      </w:r>
    </w:p>
    <w:p>
      <w:pPr>
        <w:pStyle w:val="Normal"/>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nsolas" w:hAnsi="Consolas" w:eastAsia="Times New Roman" w:cs="Courier New"/>
          <w:color w:val="24292E"/>
          <w:lang w:eastAsia="de-DE"/>
        </w:rPr>
      </w:pPr>
      <w:r>
        <w:rPr>
          <w:rFonts w:eastAsia="Times New Roman" w:cs="Courier New" w:ascii="Consolas" w:hAnsi="Consolas"/>
          <w:color w:val="24292E"/>
          <w:lang w:eastAsia="de-DE"/>
        </w:rPr>
        <w:t>$ git clone https://github.com/mmmddd98/ba_git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nsolas" w:hAnsi="Consolas" w:eastAsia="Times New Roman" w:cs="Courier New"/>
          <w:color w:val="24292E"/>
          <w:lang w:eastAsia="de-DE"/>
        </w:rPr>
      </w:pPr>
      <w:r>
        <w:rPr>
          <w:rFonts w:eastAsia="Times New Roman" w:cs="Courier New" w:ascii="Consolas" w:hAnsi="Consolas"/>
          <w:color w:val="24292E"/>
          <w:lang w:eastAsia="de-DE"/>
        </w:rPr>
        <w:t xml:space="preserve">$ cd ba_git; pip install -r </w:t>
      </w:r>
      <w:bookmarkStart w:id="177" w:name="_Hlk66582507"/>
      <w:r>
        <w:rPr>
          <w:rFonts w:eastAsia="Times New Roman" w:cs="Courier New" w:ascii="Consolas" w:hAnsi="Consolas"/>
          <w:color w:val="24292E"/>
          <w:lang w:eastAsia="de-DE"/>
        </w:rPr>
        <w:t>requirements.txt</w:t>
      </w:r>
      <w:bookmarkEnd w:id="177"/>
    </w:p>
    <w:p>
      <w:pPr>
        <w:pStyle w:val="Normal"/>
        <w:rPr/>
      </w:pPr>
      <w:r>
        <w:rPr/>
      </w:r>
    </w:p>
    <w:p>
      <w:pPr>
        <w:pStyle w:val="Normal"/>
        <w:rPr/>
      </w:pPr>
      <w:r>
        <w:rPr/>
      </w:r>
    </w:p>
    <w:p>
      <w:pPr>
        <w:pStyle w:val="Berschrift3"/>
        <w:numPr>
          <w:ilvl w:val="2"/>
          <w:numId w:val="2"/>
        </w:numPr>
        <w:rPr/>
      </w:pPr>
      <w:bookmarkStart w:id="178" w:name="_Toc66981163"/>
      <w:bookmarkStart w:id="179" w:name="_Ref66653898"/>
      <w:r>
        <w:rPr/>
        <w:t>Verwendeter Datensatz</w:t>
      </w:r>
      <w:bookmarkEnd w:id="178"/>
      <w:bookmarkEnd w:id="179"/>
    </w:p>
    <w:p>
      <w:pPr>
        <w:pStyle w:val="Normal"/>
        <w:rPr/>
      </w:pPr>
      <w:r>
        <w:rPr/>
        <w:t xml:space="preserve">Der, dieser Arbeit zu Grunde liegende Datensatz stammt aus der Publikation von </w:t>
      </w:r>
      <w:r>
        <w:rPr>
          <w:i/>
          <w:iCs/>
          <w:shd w:fill="FFFFFF" w:val="clear"/>
        </w:rPr>
        <w:t>Döring K, Qaseem A, Becer M, Li J, Mishra P, Gao M, et al.</w:t>
      </w:r>
      <w:r>
        <w:rPr>
          <w:shd w:fill="FFFFFF" w:val="clear"/>
        </w:rPr>
        <w:t xml:space="preserve"> </w:t>
      </w:r>
      <w:r>
        <w:fldChar w:fldCharType="begin"/>
      </w:r>
      <w:r>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Pr/>
        <w:fldChar w:fldCharType="separate"/>
      </w:r>
      <w:bookmarkStart w:id="180" w:name="__Fieldmark__1862_2337847765"/>
      <w:r>
        <w:rPr/>
      </w:r>
      <w:r>
        <w:rPr>
          <w:shd w:fill="FFFFFF" w:val="clear"/>
        </w:rPr>
        <w:t>[</w:t>
      </w:r>
      <w:bookmarkStart w:id="181" w:name="__Fieldmark__4101_983630037"/>
      <w:r>
        <w:rPr>
          <w:shd w:fill="FFFFFF" w:val="clear"/>
        </w:rPr>
        <w:t>36]</w:t>
      </w:r>
      <w:r>
        <w:rPr/>
      </w:r>
      <w:r>
        <w:rPr/>
        <w:fldChar w:fldCharType="end"/>
      </w:r>
      <w:bookmarkEnd w:id="180"/>
      <w:bookmarkEnd w:id="181"/>
      <w:r>
        <w:rPr>
          <w:shd w:fill="FFFFFF" w:val="clear"/>
        </w:rPr>
        <w:t>. Die Struktur der XML</w:t>
        <w:noBreakHyphen/>
        <w:t xml:space="preserve">Datei lässt sich </w:t>
      </w:r>
      <w:r>
        <w:rPr>
          <w:shd w:fill="FFFFFF" w:val="clear"/>
        </w:rPr>
        <w:fldChar w:fldCharType="begin"/>
      </w:r>
      <w:r>
        <w:rPr>
          <w:shd w:fill="FFFFFF" w:val="clear"/>
        </w:rPr>
        <w:instrText> REF _Ref66628449 \h </w:instrText>
      </w:r>
      <w:r>
        <w:rPr>
          <w:shd w:fill="FFFFFF" w:val="clear"/>
        </w:rPr>
        <w:fldChar w:fldCharType="separate"/>
      </w:r>
      <w:r>
        <w:rPr>
          <w:shd w:fill="FFFFFF" w:val="clear"/>
        </w:rPr>
        <w:t>Abbildung 11</w:t>
      </w:r>
      <w:r>
        <w:rPr>
          <w:shd w:fill="FFFFFF" w:val="clear"/>
        </w:rPr>
        <w:fldChar w:fldCharType="end"/>
      </w:r>
      <w:r>
        <w:rPr>
          <w:shd w:fill="FFFFFF" w:val="clear"/>
        </w:rPr>
        <w:t xml:space="preserve"> entnehmen.</w:t>
      </w:r>
      <w:bookmarkStart w:id="182" w:name="_MON_1677240544"/>
      <w:bookmarkEnd w:id="182"/>
    </w:p>
    <w:p>
      <w:pPr>
        <w:pStyle w:val="Normal"/>
        <w:keepNext w:val="true"/>
        <w:rPr/>
      </w:pPr>
      <w:r>
        <w:rPr/>
        <w:object>
          <v:shape id="ole_rId16" style="width:461.95pt;height:148.6pt" o:ole="">
            <v:imagedata r:id="rId17" o:title=""/>
          </v:shape>
          <o:OLEObject Type="Embed" ProgID="Word.OpenDocumentText.12" ShapeID="ole_rId16" DrawAspect="Content" ObjectID="_786191929" r:id="rId16"/>
        </w:object>
      </w:r>
    </w:p>
    <w:p>
      <w:pPr>
        <w:pStyle w:val="Caption"/>
        <w:rPr/>
      </w:pPr>
      <w:bookmarkStart w:id="183" w:name="_Ref66628449"/>
      <w:r>
        <w:rPr>
          <w:b/>
          <w:bCs/>
        </w:rPr>
        <w:t xml:space="preserve">Abbildung </w:t>
      </w:r>
      <w:r>
        <w:rPr>
          <w:b/>
          <w:bCs/>
        </w:rPr>
        <w:fldChar w:fldCharType="begin"/>
      </w:r>
      <w:r>
        <w:rPr>
          <w:b/>
          <w:bCs/>
        </w:rPr>
        <w:instrText> SEQ Abbildung \* ARABIC </w:instrText>
      </w:r>
      <w:r>
        <w:rPr>
          <w:b/>
          <w:bCs/>
        </w:rPr>
        <w:fldChar w:fldCharType="separate"/>
      </w:r>
      <w:r>
        <w:rPr>
          <w:b/>
          <w:bCs/>
        </w:rPr>
        <w:t>11</w:t>
      </w:r>
      <w:r>
        <w:rPr>
          <w:b/>
          <w:bCs/>
        </w:rPr>
        <w:fldChar w:fldCharType="end"/>
      </w:r>
      <w:bookmarkEnd w:id="183"/>
      <w:r>
        <w:rPr>
          <w:b/>
          <w:bCs/>
        </w:rPr>
        <w:t>:</w:t>
      </w:r>
      <w:r>
        <w:rPr/>
        <w:t xml:space="preserve"> Ausschnitt von </w:t>
      </w:r>
      <w:r>
        <w:rPr>
          <w:rFonts w:cs="Courier New" w:ascii="Courier New" w:hAnsi="Courier New"/>
        </w:rPr>
        <w:t>CPI</w:t>
        <w:noBreakHyphen/>
        <w:t>DS.xml</w:t>
      </w:r>
      <w:r>
        <w:rPr>
          <w:rFonts w:cs="Times New Roman"/>
        </w:rPr>
        <w:t>. „OrigId“ steht für die PubMed-ID, „id“ ist eine eigene Nummerierung über die Artikel. Als „entity“ sind die in dem Satz enthaltenen Entitäten (Proteine und chem. Verbindungen) bezeichnet. Zusätzlich kann dort über „charOffset“ die Position im Satz abgelesen werden. In der „pair“</w:t>
        <w:noBreakHyphen/>
        <w:t xml:space="preserve">Zeile ist bei „interaction“ gezeigt, ob eine funktionale Interaktion des Entitäten-Paars besteht („True“) oder nicht („False).     </w:t>
      </w:r>
    </w:p>
    <w:p>
      <w:pPr>
        <w:pStyle w:val="Normal"/>
        <w:rPr/>
      </w:pPr>
      <w:r>
        <w:rPr/>
      </w:r>
    </w:p>
    <w:p>
      <w:pPr>
        <w:pStyle w:val="Normal"/>
        <w:rPr/>
      </w:pPr>
      <w:r>
        <w:rPr/>
        <w:t xml:space="preserve">Informationen zu der Größe des Datensatzes sind in </w:t>
      </w:r>
      <w:r>
        <w:rPr/>
        <w:fldChar w:fldCharType="begin"/>
      </w:r>
      <w:r>
        <w:rPr/>
        <w:instrText> REF _Ref66629594 \h </w:instrText>
      </w:r>
      <w:r>
        <w:rPr/>
        <w:fldChar w:fldCharType="separate"/>
      </w:r>
      <w:r>
        <w:rPr/>
        <w:t>Tabelle 2</w:t>
      </w:r>
      <w:r>
        <w:rPr/>
        <w:fldChar w:fldCharType="end"/>
      </w:r>
      <w:r>
        <w:rPr/>
        <w:t xml:space="preserve"> dargestellt.</w:t>
      </w:r>
    </w:p>
    <w:p>
      <w:pPr>
        <w:pStyle w:val="Caption"/>
        <w:keepNext w:val="true"/>
        <w:rPr/>
      </w:pPr>
      <w:bookmarkStart w:id="184" w:name="_Ref66629594"/>
      <w:r>
        <w:rPr>
          <w:b/>
          <w:bCs/>
        </w:rPr>
        <w:t xml:space="preserve">Tabelle </w:t>
      </w:r>
      <w:r>
        <w:rPr>
          <w:b/>
          <w:bCs/>
        </w:rPr>
        <w:fldChar w:fldCharType="begin"/>
      </w:r>
      <w:r>
        <w:rPr>
          <w:b/>
          <w:bCs/>
        </w:rPr>
        <w:instrText> SEQ Tabelle \* ARABIC </w:instrText>
      </w:r>
      <w:r>
        <w:rPr>
          <w:b/>
          <w:bCs/>
        </w:rPr>
        <w:fldChar w:fldCharType="separate"/>
      </w:r>
      <w:r>
        <w:rPr>
          <w:b/>
          <w:bCs/>
        </w:rPr>
        <w:t>2</w:t>
      </w:r>
      <w:r>
        <w:rPr>
          <w:b/>
          <w:bCs/>
        </w:rPr>
        <w:fldChar w:fldCharType="end"/>
      </w:r>
      <w:bookmarkEnd w:id="184"/>
      <w:r>
        <w:rPr>
          <w:b/>
          <w:bCs/>
        </w:rPr>
        <w:t>:</w:t>
      </w:r>
      <w:r>
        <w:rPr/>
        <w:t xml:space="preserve"> Inhalt des CPI-DS </w:t>
      </w:r>
    </w:p>
    <w:tbl>
      <w:tblPr>
        <w:tblW w:w="5000" w:type="pct"/>
        <w:jc w:val="center"/>
        <w:tblInd w:w="0" w:type="dxa"/>
        <w:tblBorders>
          <w:top w:val="single" w:sz="8" w:space="0" w:color="000000"/>
          <w:bottom w:val="single" w:sz="4" w:space="0" w:color="000000"/>
          <w:insideH w:val="single" w:sz="4" w:space="0" w:color="000000"/>
        </w:tblBorders>
        <w:tblCellMar>
          <w:top w:w="0" w:type="dxa"/>
          <w:left w:w="0" w:type="dxa"/>
          <w:bottom w:w="0" w:type="dxa"/>
          <w:right w:w="0" w:type="dxa"/>
        </w:tblCellMar>
        <w:tblLook w:noVBand="1" w:val="04a0" w:noHBand="0" w:lastColumn="0" w:firstColumn="1" w:lastRow="0" w:firstRow="1"/>
      </w:tblPr>
      <w:tblGrid>
        <w:gridCol w:w="1961"/>
        <w:gridCol w:w="1414"/>
        <w:gridCol w:w="1413"/>
        <w:gridCol w:w="1412"/>
        <w:gridCol w:w="1413"/>
        <w:gridCol w:w="1412"/>
      </w:tblGrid>
      <w:tr>
        <w:trPr/>
        <w:tc>
          <w:tcPr>
            <w:tcW w:w="1961" w:type="dxa"/>
            <w:tcBorders>
              <w:top w:val="single" w:sz="8" w:space="0" w:color="000000"/>
              <w:bottom w:val="single" w:sz="4" w:space="0" w:color="000000"/>
              <w:insideH w:val="single" w:sz="4" w:space="0" w:color="000000"/>
            </w:tcBorders>
            <w:shd w:fill="auto" w:val="clear"/>
            <w:vAlign w:val="center"/>
          </w:tcPr>
          <w:p>
            <w:pPr>
              <w:pStyle w:val="TabelleBA"/>
              <w:spacing w:lineRule="auto" w:line="240"/>
              <w:jc w:val="both"/>
              <w:rPr>
                <w:b/>
                <w:b/>
                <w:szCs w:val="22"/>
                <w:lang w:val="de-DE"/>
              </w:rPr>
            </w:pPr>
            <w:r>
              <w:rPr>
                <w:b/>
                <w:szCs w:val="22"/>
                <w:lang w:val="de-DE"/>
              </w:rPr>
              <w:t>Datensatz</w:t>
            </w:r>
          </w:p>
        </w:tc>
        <w:tc>
          <w:tcPr>
            <w:tcW w:w="1414" w:type="dxa"/>
            <w:tcBorders>
              <w:top w:val="single" w:sz="8" w:space="0" w:color="000000"/>
              <w:bottom w:val="single" w:sz="4" w:space="0" w:color="000000"/>
              <w:insideH w:val="single" w:sz="4" w:space="0" w:color="000000"/>
            </w:tcBorders>
            <w:shd w:fill="auto" w:val="clear"/>
            <w:vAlign w:val="center"/>
          </w:tcPr>
          <w:p>
            <w:pPr>
              <w:pStyle w:val="TabelleBA"/>
              <w:spacing w:lineRule="auto" w:line="240"/>
              <w:rPr>
                <w:b/>
                <w:b/>
                <w:szCs w:val="22"/>
                <w:lang w:val="de-DE"/>
              </w:rPr>
            </w:pPr>
            <w:r>
              <w:rPr>
                <w:b/>
                <w:szCs w:val="22"/>
                <w:lang w:val="de-DE"/>
              </w:rPr>
              <w:t>Anz. Artikel</w:t>
            </w:r>
          </w:p>
        </w:tc>
        <w:tc>
          <w:tcPr>
            <w:tcW w:w="1413" w:type="dxa"/>
            <w:tcBorders>
              <w:top w:val="single" w:sz="8" w:space="0" w:color="000000"/>
              <w:bottom w:val="single" w:sz="4" w:space="0" w:color="000000"/>
              <w:insideH w:val="single" w:sz="4" w:space="0" w:color="000000"/>
            </w:tcBorders>
            <w:shd w:fill="auto" w:val="clear"/>
            <w:vAlign w:val="center"/>
          </w:tcPr>
          <w:p>
            <w:pPr>
              <w:pStyle w:val="TabelleBA"/>
              <w:spacing w:lineRule="auto" w:line="240"/>
              <w:rPr>
                <w:b/>
                <w:b/>
                <w:szCs w:val="22"/>
                <w:lang w:val="de-DE"/>
              </w:rPr>
            </w:pPr>
            <w:r>
              <w:rPr>
                <w:b/>
                <w:szCs w:val="22"/>
                <w:lang w:val="de-DE"/>
              </w:rPr>
              <w:t>Anz. Sätze</w:t>
            </w:r>
          </w:p>
        </w:tc>
        <w:tc>
          <w:tcPr>
            <w:tcW w:w="1412" w:type="dxa"/>
            <w:tcBorders>
              <w:top w:val="single" w:sz="8" w:space="0" w:color="000000"/>
              <w:bottom w:val="single" w:sz="4" w:space="0" w:color="000000"/>
              <w:insideH w:val="single" w:sz="4" w:space="0" w:color="000000"/>
            </w:tcBorders>
            <w:shd w:fill="auto" w:val="clear"/>
            <w:vAlign w:val="center"/>
          </w:tcPr>
          <w:p>
            <w:pPr>
              <w:pStyle w:val="TabelleBA"/>
              <w:spacing w:lineRule="auto" w:line="240"/>
              <w:rPr>
                <w:b/>
                <w:b/>
                <w:szCs w:val="22"/>
                <w:lang w:val="de-DE"/>
              </w:rPr>
            </w:pPr>
            <w:r>
              <w:rPr>
                <w:b/>
                <w:szCs w:val="22"/>
                <w:lang w:val="de-DE"/>
              </w:rPr>
              <w:t>Anz. funk. CPIs</w:t>
            </w:r>
          </w:p>
        </w:tc>
        <w:tc>
          <w:tcPr>
            <w:tcW w:w="1413" w:type="dxa"/>
            <w:tcBorders>
              <w:top w:val="single" w:sz="8" w:space="0" w:color="000000"/>
              <w:bottom w:val="single" w:sz="4" w:space="0" w:color="000000"/>
              <w:insideH w:val="single" w:sz="4" w:space="0" w:color="000000"/>
            </w:tcBorders>
            <w:shd w:fill="auto" w:val="clear"/>
          </w:tcPr>
          <w:p>
            <w:pPr>
              <w:pStyle w:val="TabelleBA"/>
              <w:spacing w:lineRule="auto" w:line="240"/>
              <w:rPr>
                <w:b/>
                <w:b/>
                <w:szCs w:val="22"/>
                <w:lang w:val="de-DE"/>
              </w:rPr>
            </w:pPr>
            <w:r>
              <w:rPr>
                <w:b/>
                <w:szCs w:val="22"/>
                <w:lang w:val="de-DE"/>
              </w:rPr>
              <w:t>Anz. keine funk. CPI</w:t>
            </w:r>
          </w:p>
        </w:tc>
        <w:tc>
          <w:tcPr>
            <w:tcW w:w="1412" w:type="dxa"/>
            <w:tcBorders>
              <w:top w:val="single" w:sz="8" w:space="0" w:color="000000"/>
              <w:bottom w:val="single" w:sz="4" w:space="0" w:color="000000"/>
              <w:insideH w:val="single" w:sz="4" w:space="0" w:color="000000"/>
            </w:tcBorders>
            <w:shd w:fill="auto" w:val="clear"/>
            <w:vAlign w:val="center"/>
          </w:tcPr>
          <w:p>
            <w:pPr>
              <w:pStyle w:val="TabelleBA"/>
              <w:spacing w:lineRule="auto" w:line="240"/>
              <w:rPr>
                <w:b/>
                <w:b/>
                <w:bCs/>
                <w:szCs w:val="22"/>
                <w:lang w:val="de-DE"/>
              </w:rPr>
            </w:pPr>
            <w:r>
              <w:rPr>
                <w:b/>
                <w:bCs/>
                <w:szCs w:val="22"/>
              </w:rPr>
              <w:t>Ges. Anz. CPI</w:t>
            </w:r>
          </w:p>
        </w:tc>
      </w:tr>
      <w:tr>
        <w:trPr/>
        <w:tc>
          <w:tcPr>
            <w:tcW w:w="1961" w:type="dxa"/>
            <w:tcBorders>
              <w:top w:val="single" w:sz="8" w:space="0" w:color="000000"/>
              <w:bottom w:val="single" w:sz="8" w:space="0" w:color="000000"/>
              <w:insideH w:val="single" w:sz="8" w:space="0" w:color="000000"/>
            </w:tcBorders>
            <w:shd w:fill="auto" w:val="clear"/>
            <w:vAlign w:val="center"/>
          </w:tcPr>
          <w:p>
            <w:pPr>
              <w:pStyle w:val="TabelleBA"/>
              <w:spacing w:lineRule="auto" w:line="240"/>
              <w:jc w:val="both"/>
              <w:rPr>
                <w:szCs w:val="22"/>
                <w:lang w:val="de-DE"/>
              </w:rPr>
            </w:pPr>
            <w:r>
              <w:rPr>
                <w:szCs w:val="22"/>
                <w:lang w:val="de-DE"/>
              </w:rPr>
              <w:t>CPI</w:t>
              <w:noBreakHyphen/>
              <w:t xml:space="preserve">DS </w:t>
            </w:r>
          </w:p>
        </w:tc>
        <w:tc>
          <w:tcPr>
            <w:tcW w:w="1414" w:type="dxa"/>
            <w:tcBorders>
              <w:top w:val="single" w:sz="8" w:space="0" w:color="000000"/>
              <w:bottom w:val="single" w:sz="8" w:space="0" w:color="000000"/>
              <w:insideH w:val="single" w:sz="8" w:space="0" w:color="000000"/>
            </w:tcBorders>
            <w:shd w:fill="auto" w:val="clear"/>
          </w:tcPr>
          <w:p>
            <w:pPr>
              <w:pStyle w:val="TabelleBA"/>
              <w:spacing w:lineRule="auto" w:line="240"/>
              <w:rPr>
                <w:szCs w:val="22"/>
                <w:lang w:val="de-DE"/>
              </w:rPr>
            </w:pPr>
            <w:r>
              <w:rPr>
                <w:szCs w:val="22"/>
                <w:lang w:val="de-DE"/>
              </w:rPr>
              <w:t>1808</w:t>
            </w:r>
          </w:p>
        </w:tc>
        <w:tc>
          <w:tcPr>
            <w:tcW w:w="1413" w:type="dxa"/>
            <w:tcBorders>
              <w:top w:val="single" w:sz="8" w:space="0" w:color="000000"/>
              <w:bottom w:val="single" w:sz="8" w:space="0" w:color="000000"/>
              <w:insideH w:val="single" w:sz="8" w:space="0" w:color="000000"/>
            </w:tcBorders>
            <w:shd w:fill="auto" w:val="clear"/>
            <w:vAlign w:val="center"/>
          </w:tcPr>
          <w:p>
            <w:pPr>
              <w:pStyle w:val="TabelleBA"/>
              <w:spacing w:lineRule="auto" w:line="240"/>
              <w:rPr>
                <w:szCs w:val="22"/>
                <w:lang w:val="de-DE"/>
              </w:rPr>
            </w:pPr>
            <w:r>
              <w:rPr>
                <w:szCs w:val="22"/>
                <w:lang w:val="de-DE"/>
              </w:rPr>
              <w:t>2613</w:t>
            </w:r>
          </w:p>
        </w:tc>
        <w:tc>
          <w:tcPr>
            <w:tcW w:w="1412" w:type="dxa"/>
            <w:tcBorders>
              <w:top w:val="single" w:sz="8" w:space="0" w:color="000000"/>
              <w:bottom w:val="single" w:sz="8" w:space="0" w:color="000000"/>
              <w:insideH w:val="single" w:sz="8" w:space="0" w:color="000000"/>
            </w:tcBorders>
            <w:shd w:fill="auto" w:val="clear"/>
            <w:vAlign w:val="center"/>
          </w:tcPr>
          <w:p>
            <w:pPr>
              <w:pStyle w:val="TabelleBA"/>
              <w:spacing w:lineRule="auto" w:line="240"/>
              <w:rPr>
                <w:szCs w:val="22"/>
                <w:lang w:val="de-DE"/>
              </w:rPr>
            </w:pPr>
            <w:r>
              <w:rPr>
                <w:szCs w:val="22"/>
                <w:lang w:val="de-DE"/>
              </w:rPr>
              <w:t>2931</w:t>
            </w:r>
          </w:p>
        </w:tc>
        <w:tc>
          <w:tcPr>
            <w:tcW w:w="1413" w:type="dxa"/>
            <w:tcBorders>
              <w:top w:val="single" w:sz="8" w:space="0" w:color="000000"/>
              <w:bottom w:val="single" w:sz="8" w:space="0" w:color="000000"/>
              <w:insideH w:val="single" w:sz="8" w:space="0" w:color="000000"/>
            </w:tcBorders>
            <w:shd w:fill="auto" w:val="clear"/>
          </w:tcPr>
          <w:p>
            <w:pPr>
              <w:pStyle w:val="TabelleBA"/>
              <w:spacing w:lineRule="auto" w:line="240"/>
              <w:rPr>
                <w:szCs w:val="22"/>
                <w:lang w:val="de-DE"/>
              </w:rPr>
            </w:pPr>
            <w:r>
              <w:rPr>
                <w:szCs w:val="22"/>
                <w:lang w:val="de-DE"/>
              </w:rPr>
              <w:t>2631</w:t>
            </w:r>
          </w:p>
        </w:tc>
        <w:tc>
          <w:tcPr>
            <w:tcW w:w="1412" w:type="dxa"/>
            <w:tcBorders>
              <w:top w:val="single" w:sz="8" w:space="0" w:color="000000"/>
              <w:bottom w:val="single" w:sz="8" w:space="0" w:color="000000"/>
              <w:insideH w:val="single" w:sz="8" w:space="0" w:color="000000"/>
            </w:tcBorders>
            <w:shd w:fill="auto" w:val="clear"/>
          </w:tcPr>
          <w:p>
            <w:pPr>
              <w:pStyle w:val="TabelleBA"/>
              <w:spacing w:lineRule="auto" w:line="240"/>
              <w:rPr>
                <w:szCs w:val="22"/>
                <w:lang w:val="de-DE"/>
              </w:rPr>
            </w:pPr>
            <w:r>
              <w:rPr>
                <w:szCs w:val="22"/>
                <w:lang w:val="de-DE"/>
              </w:rPr>
              <w:t>5562</w:t>
            </w:r>
          </w:p>
        </w:tc>
      </w:tr>
    </w:tbl>
    <w:p>
      <w:pPr>
        <w:pStyle w:val="Normal"/>
        <w:rPr/>
      </w:pPr>
      <w:r>
        <w:rPr/>
      </w:r>
    </w:p>
    <w:p>
      <w:pPr>
        <w:pStyle w:val="Berschrift3"/>
        <w:numPr>
          <w:ilvl w:val="2"/>
          <w:numId w:val="2"/>
        </w:numPr>
        <w:rPr/>
      </w:pPr>
      <w:bookmarkStart w:id="185" w:name="_Ref66643850"/>
      <w:bookmarkStart w:id="186" w:name="_Toc66981164"/>
      <w:r>
        <w:rPr/>
        <w:t>Parameter zur Bewertung von Modellen</w:t>
      </w:r>
      <w:bookmarkEnd w:id="185"/>
      <w:bookmarkEnd w:id="186"/>
      <w:r>
        <w:rPr/>
        <w:t xml:space="preserve"> </w:t>
      </w:r>
    </w:p>
    <w:p>
      <w:pPr>
        <w:pStyle w:val="Normal"/>
        <w:rPr/>
      </w:pPr>
      <w:r>
        <w:rPr/>
        <w:t xml:space="preserve">Wenn ein maschinelles Lernen Modell trainiert wurde, muss es anhand seiner richtigen und falschen Vorhersagen bewertet werden, um es später mit anderen Modellen vergleichen zu können. Grundsätzlich gibt es bei einer binären Klassifikationsaufgabe mit den Klassen </w:t>
      </w:r>
      <w:r>
        <w:rPr>
          <w:i/>
          <w:iCs/>
        </w:rPr>
        <w:t>Positiv</w:t>
      </w:r>
      <w:r>
        <w:rPr/>
        <w:t xml:space="preserve"> und </w:t>
      </w:r>
      <w:r>
        <w:rPr>
          <w:i/>
          <w:iCs/>
        </w:rPr>
        <w:t>Negativ</w:t>
      </w:r>
      <w:r>
        <w:rPr/>
        <w:t>, vier mögliche Ausgänge der Vorhersage der Klasse:</w:t>
      </w:r>
    </w:p>
    <w:p>
      <w:pPr>
        <w:pStyle w:val="ListParagraph"/>
        <w:numPr>
          <w:ilvl w:val="0"/>
          <w:numId w:val="5"/>
        </w:numPr>
        <w:rPr/>
      </w:pPr>
      <w:r>
        <w:rPr/>
        <w:t xml:space="preserve">Richtig positiv </w:t>
      </w:r>
      <w:r>
        <w:rPr>
          <w:i/>
          <w:iCs/>
        </w:rPr>
        <w:t xml:space="preserve">(engl. true positv; </w:t>
      </w:r>
      <w:r>
        <w:rPr/>
      </w:r>
      <m:oMath xmlns:m="http://schemas.openxmlformats.org/officeDocument/2006/math">
        <m:r>
          <w:rPr>
            <w:rFonts w:ascii="Cambria Math" w:hAnsi="Cambria Math"/>
          </w:rPr>
          <m:t xml:space="preserve">TP</m:t>
        </m:r>
      </m:oMath>
      <w:r>
        <w:rPr>
          <w:i/>
          <w:iCs/>
        </w:rPr>
        <w:t>)</w:t>
      </w:r>
      <w:r>
        <w:rPr/>
        <w:t xml:space="preserve">:  Richtige Vorhersage der Klasse </w:t>
      </w:r>
      <w:r>
        <w:rPr>
          <w:i/>
          <w:iCs/>
        </w:rPr>
        <w:t>Positiv</w:t>
      </w:r>
    </w:p>
    <w:p>
      <w:pPr>
        <w:pStyle w:val="ListParagraph"/>
        <w:numPr>
          <w:ilvl w:val="0"/>
          <w:numId w:val="5"/>
        </w:numPr>
        <w:rPr/>
      </w:pPr>
      <w:r>
        <w:rPr/>
        <w:t xml:space="preserve">Falsch positiv </w:t>
      </w:r>
      <w:r>
        <w:rPr>
          <w:i/>
          <w:iCs/>
        </w:rPr>
        <w:t xml:space="preserve">(engl. false positv; </w:t>
      </w:r>
      <w:r>
        <w:rPr/>
      </w:r>
      <m:oMath xmlns:m="http://schemas.openxmlformats.org/officeDocument/2006/math">
        <m:r>
          <w:rPr>
            <w:rFonts w:ascii="Cambria Math" w:hAnsi="Cambria Math"/>
          </w:rPr>
          <m:t xml:space="preserve">FP</m:t>
        </m:r>
      </m:oMath>
      <w:r>
        <w:rPr>
          <w:i/>
          <w:iCs/>
        </w:rPr>
        <w:t>)</w:t>
      </w:r>
      <w:r>
        <w:rPr/>
        <w:t xml:space="preserve">:  Falsche Vorhersage der Klasse </w:t>
      </w:r>
      <w:r>
        <w:rPr>
          <w:i/>
          <w:iCs/>
        </w:rPr>
        <w:t>Positiv</w:t>
      </w:r>
    </w:p>
    <w:p>
      <w:pPr>
        <w:pStyle w:val="ListParagraph"/>
        <w:numPr>
          <w:ilvl w:val="0"/>
          <w:numId w:val="5"/>
        </w:numPr>
        <w:rPr/>
      </w:pPr>
      <w:r>
        <w:rPr/>
        <w:t xml:space="preserve">Richtig negativ </w:t>
      </w:r>
      <w:r>
        <w:rPr>
          <w:i/>
          <w:iCs/>
        </w:rPr>
        <w:t xml:space="preserve">(engl. true negativ; </w:t>
      </w:r>
      <w:r>
        <w:rPr/>
      </w:r>
      <m:oMath xmlns:m="http://schemas.openxmlformats.org/officeDocument/2006/math">
        <m:r>
          <w:rPr>
            <w:rFonts w:ascii="Cambria Math" w:hAnsi="Cambria Math"/>
          </w:rPr>
          <m:t xml:space="preserve">TN</m:t>
        </m:r>
      </m:oMath>
      <w:r>
        <w:rPr>
          <w:i/>
          <w:iCs/>
        </w:rPr>
        <w:t>)</w:t>
      </w:r>
      <w:r>
        <w:rPr/>
        <w:t xml:space="preserve">:  Richtige Vorhersage der Klasse </w:t>
      </w:r>
      <w:r>
        <w:rPr>
          <w:i/>
          <w:iCs/>
        </w:rPr>
        <w:t>Negativ</w:t>
      </w:r>
    </w:p>
    <w:p>
      <w:pPr>
        <w:pStyle w:val="ListParagraph"/>
        <w:numPr>
          <w:ilvl w:val="0"/>
          <w:numId w:val="5"/>
        </w:numPr>
        <w:rPr/>
      </w:pPr>
      <w:r>
        <w:rPr/>
        <w:t xml:space="preserve">Falsch negativ </w:t>
      </w:r>
      <w:r>
        <w:rPr>
          <w:i/>
          <w:iCs/>
        </w:rPr>
        <w:t xml:space="preserve">(engl. false negativ; </w:t>
      </w:r>
      <w:r>
        <w:rPr/>
      </w:r>
      <m:oMath xmlns:m="http://schemas.openxmlformats.org/officeDocument/2006/math">
        <m:r>
          <w:rPr>
            <w:rFonts w:ascii="Cambria Math" w:hAnsi="Cambria Math"/>
          </w:rPr>
          <m:t xml:space="preserve">FP</m:t>
        </m:r>
      </m:oMath>
      <w:r>
        <w:rPr>
          <w:i/>
          <w:iCs/>
        </w:rPr>
        <w:t>)</w:t>
      </w:r>
      <w:r>
        <w:rPr/>
        <w:t xml:space="preserve">:  Falsche Vorhersage der Klasse </w:t>
      </w:r>
      <w:r>
        <w:rPr>
          <w:i/>
          <w:iCs/>
        </w:rPr>
        <w:t>Negativ</w:t>
      </w:r>
    </w:p>
    <w:p>
      <w:pPr>
        <w:pStyle w:val="Normal"/>
        <w:rPr/>
      </w:pPr>
      <w:r>
        <w:rPr/>
        <w:t>Daraus lassen sich die folgenden Parameter ableiten.</w:t>
      </w:r>
    </w:p>
    <w:p>
      <w:pPr>
        <w:pStyle w:val="Berschrift4"/>
        <w:rPr/>
      </w:pPr>
      <w:r>
        <w:rPr/>
        <w:t>Sensitivität</w:t>
      </w:r>
    </w:p>
    <w:p>
      <w:pPr>
        <w:pStyle w:val="Normal"/>
        <w:rPr/>
      </w:pPr>
      <w:r>
        <w:rPr/>
        <w:t xml:space="preserve">Die Sensitivität </w:t>
      </w:r>
      <w:r>
        <w:rPr>
          <w:i/>
          <w:iCs/>
        </w:rPr>
        <w:t xml:space="preserve">(engl. recall; </w:t>
      </w:r>
      <w:r>
        <w:rPr/>
      </w:r>
      <m:oMath xmlns:m="http://schemas.openxmlformats.org/officeDocument/2006/math">
        <m:r>
          <w:rPr>
            <w:rFonts w:ascii="Cambria Math" w:hAnsi="Cambria Math"/>
          </w:rPr>
          <m:t xml:space="preserve">R</m:t>
        </m:r>
      </m:oMath>
      <w:r>
        <w:rPr>
          <w:i/>
          <w:iCs/>
        </w:rPr>
        <w:t xml:space="preserve">) </w:t>
      </w:r>
      <w:r>
        <w:rPr/>
        <w:t xml:space="preserve">gibt die Wahrscheinlichkeit an, dass ein als </w:t>
      </w:r>
      <w:r>
        <w:rPr>
          <w:i/>
          <w:iCs/>
        </w:rPr>
        <w:t xml:space="preserve">Positiv </w:t>
      </w:r>
      <w:r>
        <w:rPr/>
        <w:t xml:space="preserve">zu klassifizierendes Objekt, richtig als </w:t>
      </w:r>
      <w:r>
        <w:rPr>
          <w:i/>
          <w:iCs/>
        </w:rPr>
        <w:t xml:space="preserve">Positiv </w:t>
      </w:r>
      <w:r>
        <w:rPr/>
        <w:t xml:space="preserve">klassifiziert wurde. Alle </w:t>
      </w:r>
      <w:r>
        <w:rPr/>
      </w:r>
      <m:oMath xmlns:m="http://schemas.openxmlformats.org/officeDocument/2006/math">
        <m:r>
          <w:rPr>
            <w:rFonts w:ascii="Cambria Math" w:hAnsi="Cambria Math"/>
          </w:rPr>
          <m:t xml:space="preserve">FN</m:t>
        </m:r>
      </m:oMath>
      <w:r>
        <w:rPr/>
        <w:t xml:space="preserve"> wurden fälschlicherweise als </w:t>
      </w:r>
      <w:r>
        <w:rPr>
          <w:i/>
          <w:iCs/>
        </w:rPr>
        <w:t>Negativ</w:t>
      </w:r>
      <w:r>
        <w:rPr/>
        <w:t xml:space="preserve"> klassifiziert. </w:t>
      </w:r>
    </w:p>
    <w:tbl>
      <w:tblPr>
        <w:tblStyle w:val="Tabellenraster"/>
        <w:tblW w:w="9015" w:type="dxa"/>
        <w:jc w:val="left"/>
        <w:tblInd w:w="0" w:type="dxa"/>
        <w:tblCellMar>
          <w:top w:w="0" w:type="dxa"/>
          <w:left w:w="118" w:type="dxa"/>
          <w:bottom w:w="0" w:type="dxa"/>
          <w:right w:w="108" w:type="dxa"/>
        </w:tblCellMar>
        <w:tblLook w:noVBand="1" w:val="04a0" w:noHBand="0" w:lastColumn="0" w:firstColumn="1" w:lastRow="0" w:firstRow="1"/>
      </w:tblPr>
      <w:tblGrid>
        <w:gridCol w:w="1245"/>
        <w:gridCol w:w="6522"/>
        <w:gridCol w:w="1248"/>
      </w:tblGrid>
      <w:tr>
        <w:trPr/>
        <w:tc>
          <w:tcPr>
            <w:tcW w:w="1245"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Fonts w:eastAsia="" w:eastAsiaTheme="minorEastAsia"/>
              </w:rPr>
            </w:r>
          </w:p>
        </w:tc>
        <w:tc>
          <w:tcPr>
            <w:tcW w:w="6522"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oMath>
          </w:p>
        </w:tc>
        <w:tc>
          <w:tcPr>
            <w:tcW w:w="1248" w:type="dxa"/>
            <w:tcBorders>
              <w:top w:val="nil"/>
              <w:left w:val="nil"/>
              <w:bottom w:val="nil"/>
              <w:right w:val="nil"/>
              <w:insideH w:val="nil"/>
              <w:insideV w:val="nil"/>
            </w:tcBorders>
            <w:shd w:fill="auto" w:val="clear"/>
            <w:vAlign w:val="center"/>
          </w:tcPr>
          <w:p>
            <w:pPr>
              <w:pStyle w:val="Normal"/>
              <w:keepNext w:val="true"/>
              <w:spacing w:lineRule="auto" w:line="240" w:before="0" w:after="0"/>
              <w:rPr>
                <w:rFonts w:eastAsia="" w:eastAsiaTheme="minorEastAsia"/>
              </w:rPr>
            </w:pPr>
            <w:r>
              <w:rPr/>
              <w:t>(</w:t>
            </w:r>
            <w:r>
              <w:fldChar w:fldCharType="begin"/>
            </w:r>
            <w:r>
              <w:rPr/>
              <w:instrText>STYLEREF 1 \s</w:instrText>
            </w:r>
            <w:r>
              <w:rPr/>
              <w:fldChar w:fldCharType="separate"/>
            </w:r>
            <w:bookmarkStart w:id="187" w:name="__Fieldmark__1996_2337847765"/>
            <w:r>
              <w:rPr/>
              <w:t>3</w:t>
            </w:r>
            <w:bookmarkStart w:id="188" w:name="__Fieldmark__4332_983630037"/>
            <w:r>
              <w:rPr/>
            </w:r>
            <w:r>
              <w:rPr/>
              <w:fldChar w:fldCharType="end"/>
            </w:r>
            <w:bookmarkEnd w:id="187"/>
            <w:bookmarkEnd w:id="188"/>
            <w:r>
              <w:rPr/>
              <w:t>.</w:t>
            </w:r>
            <w:r>
              <w:rPr/>
              <w:fldChar w:fldCharType="begin"/>
            </w:r>
            <w:r>
              <w:rPr/>
              <w:instrText> SEQ Formel \* ARABIC </w:instrText>
            </w:r>
            <w:r>
              <w:rPr/>
              <w:fldChar w:fldCharType="separate"/>
            </w:r>
            <w:r>
              <w:rPr/>
              <w:t>4</w:t>
            </w:r>
            <w:r>
              <w:rPr/>
              <w:fldChar w:fldCharType="end"/>
            </w:r>
            <w:r>
              <w:rPr/>
              <w:t>)</w:t>
            </w:r>
          </w:p>
        </w:tc>
      </w:tr>
    </w:tbl>
    <w:p>
      <w:pPr>
        <w:pStyle w:val="Caption"/>
        <w:rPr/>
      </w:pPr>
      <w:r>
        <w:rPr/>
      </w:r>
    </w:p>
    <w:p>
      <w:pPr>
        <w:pStyle w:val="Normal"/>
        <w:rPr/>
      </w:pPr>
      <w:r>
        <w:rPr/>
      </w:r>
    </w:p>
    <w:p>
      <w:pPr>
        <w:pStyle w:val="Berschrift4"/>
        <w:rPr/>
      </w:pPr>
      <w:r>
        <w:rPr/>
        <w:t>Spezifität</w:t>
      </w:r>
    </w:p>
    <w:p>
      <w:pPr>
        <w:pStyle w:val="Normal"/>
        <w:rPr/>
      </w:pPr>
      <w:r>
        <w:rPr/>
        <w:t xml:space="preserve">Die Spezifität </w:t>
      </w:r>
      <w:r>
        <w:rPr>
          <w:i/>
          <w:iCs/>
        </w:rPr>
        <w:t xml:space="preserve">(engl. specifity; </w:t>
      </w:r>
      <w:r>
        <w:rPr/>
      </w:r>
      <m:oMath xmlns:m="http://schemas.openxmlformats.org/officeDocument/2006/math">
        <m:r>
          <w:rPr>
            <w:rFonts w:ascii="Cambria Math" w:hAnsi="Cambria Math"/>
          </w:rPr>
          <m:t xml:space="preserve">S</m:t>
        </m:r>
      </m:oMath>
      <w:r>
        <w:rPr>
          <w:i/>
          <w:iCs/>
        </w:rPr>
        <w:t xml:space="preserve">) </w:t>
      </w:r>
      <w:r>
        <w:rPr/>
        <w:t xml:space="preserve">gibt die Wahrscheinlichkeit an, dass ein als </w:t>
      </w:r>
      <w:r>
        <w:rPr>
          <w:i/>
          <w:iCs/>
        </w:rPr>
        <w:t xml:space="preserve">Negativ </w:t>
      </w:r>
      <w:r>
        <w:rPr/>
        <w:t xml:space="preserve">zu klassifizierendes Objekt, richtig als </w:t>
      </w:r>
      <w:r>
        <w:rPr>
          <w:i/>
          <w:iCs/>
        </w:rPr>
        <w:t xml:space="preserve">Negativ </w:t>
      </w:r>
      <w:r>
        <w:rPr/>
        <w:t xml:space="preserve">klassifiziert wurde. Alle </w:t>
      </w:r>
      <w:r>
        <w:rPr/>
      </w:r>
      <m:oMath xmlns:m="http://schemas.openxmlformats.org/officeDocument/2006/math">
        <m:r>
          <w:rPr>
            <w:rFonts w:ascii="Cambria Math" w:hAnsi="Cambria Math"/>
          </w:rPr>
          <m:t xml:space="preserve">FP</m:t>
        </m:r>
      </m:oMath>
      <w:r>
        <w:rPr/>
        <w:t xml:space="preserve"> wurden fälschlicherweise als </w:t>
      </w:r>
      <w:r>
        <w:rPr>
          <w:i/>
          <w:iCs/>
        </w:rPr>
        <w:t>Positiv</w:t>
      </w:r>
      <w:r>
        <w:rPr/>
        <w:t xml:space="preserve"> klassifiziert. </w:t>
      </w:r>
    </w:p>
    <w:tbl>
      <w:tblPr>
        <w:tblStyle w:val="Tabellenraster"/>
        <w:tblW w:w="9015" w:type="dxa"/>
        <w:jc w:val="left"/>
        <w:tblInd w:w="0" w:type="dxa"/>
        <w:tblCellMar>
          <w:top w:w="0" w:type="dxa"/>
          <w:left w:w="118" w:type="dxa"/>
          <w:bottom w:w="0" w:type="dxa"/>
          <w:right w:w="108" w:type="dxa"/>
        </w:tblCellMar>
        <w:tblLook w:noVBand="1" w:val="04a0" w:noHBand="0" w:lastColumn="0" w:firstColumn="1" w:lastRow="0" w:firstRow="1"/>
      </w:tblPr>
      <w:tblGrid>
        <w:gridCol w:w="1245"/>
        <w:gridCol w:w="6522"/>
        <w:gridCol w:w="1248"/>
      </w:tblGrid>
      <w:tr>
        <w:trPr/>
        <w:tc>
          <w:tcPr>
            <w:tcW w:w="1245"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Fonts w:eastAsia="" w:eastAsiaTheme="minorEastAsia"/>
              </w:rPr>
            </w:r>
          </w:p>
        </w:tc>
        <w:tc>
          <w:tcPr>
            <w:tcW w:w="6522"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TN</m:t>
                  </m:r>
                </m:num>
                <m:den>
                  <m:r>
                    <w:rPr>
                      <w:rFonts w:ascii="Cambria Math" w:hAnsi="Cambria Math"/>
                    </w:rPr>
                    <m:t xml:space="preserve">TN</m:t>
                  </m:r>
                  <m:r>
                    <w:rPr>
                      <w:rFonts w:ascii="Cambria Math" w:hAnsi="Cambria Math"/>
                    </w:rPr>
                    <m:t xml:space="preserve">+</m:t>
                  </m:r>
                  <m:r>
                    <w:rPr>
                      <w:rFonts w:ascii="Cambria Math" w:hAnsi="Cambria Math"/>
                    </w:rPr>
                    <m:t xml:space="preserve">FP</m:t>
                  </m:r>
                </m:den>
              </m:f>
            </m:oMath>
          </w:p>
        </w:tc>
        <w:tc>
          <w:tcPr>
            <w:tcW w:w="1248" w:type="dxa"/>
            <w:tcBorders>
              <w:top w:val="nil"/>
              <w:left w:val="nil"/>
              <w:bottom w:val="nil"/>
              <w:right w:val="nil"/>
              <w:insideH w:val="nil"/>
              <w:insideV w:val="nil"/>
            </w:tcBorders>
            <w:shd w:fill="auto" w:val="clear"/>
            <w:vAlign w:val="center"/>
          </w:tcPr>
          <w:p>
            <w:pPr>
              <w:pStyle w:val="Normal"/>
              <w:keepNext w:val="true"/>
              <w:spacing w:lineRule="auto" w:line="240" w:before="0" w:after="0"/>
              <w:rPr>
                <w:rFonts w:eastAsia="" w:eastAsiaTheme="minorEastAsia"/>
              </w:rPr>
            </w:pPr>
            <w:r>
              <w:rPr/>
              <w:t>(</w:t>
            </w:r>
            <w:r>
              <w:fldChar w:fldCharType="begin"/>
            </w:r>
            <w:r>
              <w:rPr/>
              <w:instrText>STYLEREF 1 \s</w:instrText>
            </w:r>
            <w:r>
              <w:rPr/>
              <w:fldChar w:fldCharType="separate"/>
            </w:r>
            <w:bookmarkStart w:id="189" w:name="__Fieldmark__2028_2337847765"/>
            <w:r>
              <w:rPr/>
              <w:t>3</w:t>
            </w:r>
            <w:bookmarkStart w:id="190" w:name="__Fieldmark__4373_983630037"/>
            <w:r>
              <w:rPr/>
            </w:r>
            <w:r>
              <w:rPr/>
              <w:fldChar w:fldCharType="end"/>
            </w:r>
            <w:bookmarkEnd w:id="189"/>
            <w:bookmarkEnd w:id="190"/>
            <w:r>
              <w:rPr/>
              <w:t>.</w:t>
            </w:r>
            <w:r>
              <w:rPr/>
              <w:fldChar w:fldCharType="begin"/>
            </w:r>
            <w:r>
              <w:rPr/>
              <w:instrText> SEQ Formel \* ARABIC </w:instrText>
            </w:r>
            <w:r>
              <w:rPr/>
              <w:fldChar w:fldCharType="separate"/>
            </w:r>
            <w:r>
              <w:rPr/>
              <w:t>5</w:t>
            </w:r>
            <w:r>
              <w:rPr/>
              <w:fldChar w:fldCharType="end"/>
            </w:r>
            <w:r>
              <w:rPr/>
              <w:t>)</w:t>
            </w:r>
          </w:p>
        </w:tc>
      </w:tr>
    </w:tbl>
    <w:p>
      <w:pPr>
        <w:pStyle w:val="Normal"/>
        <w:rPr/>
      </w:pPr>
      <w:r>
        <w:rPr/>
      </w:r>
    </w:p>
    <w:p>
      <w:pPr>
        <w:pStyle w:val="Normal"/>
        <w:rPr/>
      </w:pPr>
      <w:r>
        <w:rPr/>
      </w:r>
    </w:p>
    <w:p>
      <w:pPr>
        <w:pStyle w:val="Berschrift4"/>
        <w:rPr/>
      </w:pPr>
      <w:r>
        <w:rPr/>
        <w:t>Genauigkeit</w:t>
      </w:r>
    </w:p>
    <w:p>
      <w:pPr>
        <w:pStyle w:val="Normal"/>
        <w:rPr/>
      </w:pPr>
      <w:r>
        <w:rPr/>
        <w:t xml:space="preserve">Die Genauigkeit </w:t>
      </w:r>
      <w:r>
        <w:rPr>
          <w:i/>
          <w:iCs/>
        </w:rPr>
        <w:t xml:space="preserve">(engl. precision; </w:t>
      </w:r>
      <w:r>
        <w:rPr/>
      </w:r>
      <m:oMath xmlns:m="http://schemas.openxmlformats.org/officeDocument/2006/math">
        <m:r>
          <w:rPr>
            <w:rFonts w:ascii="Cambria Math" w:hAnsi="Cambria Math"/>
          </w:rPr>
          <m:t xml:space="preserve">P</m:t>
        </m:r>
      </m:oMath>
      <w:r>
        <w:rPr>
          <w:i/>
          <w:iCs/>
        </w:rPr>
        <w:t xml:space="preserve">) </w:t>
      </w:r>
      <w:r>
        <w:rPr/>
        <w:t xml:space="preserve">gibt die Wahrscheinlichkeit an, dass ein als </w:t>
      </w:r>
      <w:r>
        <w:rPr>
          <w:i/>
          <w:iCs/>
        </w:rPr>
        <w:t>Positiv</w:t>
      </w:r>
      <w:r>
        <w:rPr/>
        <w:t xml:space="preserve"> klassifiziertes Objekt auch wirklich </w:t>
      </w:r>
      <w:r>
        <w:rPr>
          <w:i/>
          <w:iCs/>
        </w:rPr>
        <w:t>Positiv</w:t>
      </w:r>
      <w:r>
        <w:rPr/>
        <w:t xml:space="preserve"> (</w:t>
      </w:r>
      <w:r>
        <w:rPr/>
      </w:r>
      <m:oMath xmlns:m="http://schemas.openxmlformats.org/officeDocument/2006/math">
        <m:r>
          <w:rPr>
            <w:rFonts w:ascii="Cambria Math" w:hAnsi="Cambria Math"/>
          </w:rPr>
          <m:t xml:space="preserve">TP</m:t>
        </m:r>
      </m:oMath>
      <w:r>
        <w:rPr/>
        <w:t xml:space="preserve">) ist. Dieser Parameter ist wichtig, um ein Klassifikator im Bereich des RE zu bewerten. Der Klassifikator wird hier nur danach bewertet, wie sicher er eine richtige positive Vorhersage trifft. Für die Genauigkeit spielt es keine Rolle, wie viele als </w:t>
      </w:r>
      <w:r>
        <w:rPr>
          <w:i/>
          <w:iCs/>
        </w:rPr>
        <w:t>Positiv</w:t>
      </w:r>
      <w:r>
        <w:rPr/>
        <w:t xml:space="preserve"> zu klassifizierende Objekte, </w:t>
      </w:r>
      <w:r>
        <w:rPr>
          <w:i/>
          <w:iCs/>
        </w:rPr>
        <w:t>Falsch</w:t>
      </w:r>
      <w:r>
        <w:rPr/>
        <w:t xml:space="preserve"> als Negativ vorhergesagt wurden (</w:t>
      </w:r>
      <w:r>
        <w:rPr/>
      </w:r>
      <m:oMath xmlns:m="http://schemas.openxmlformats.org/officeDocument/2006/math">
        <m:r>
          <w:rPr>
            <w:rFonts w:ascii="Cambria Math" w:hAnsi="Cambria Math"/>
          </w:rPr>
          <m:t xml:space="preserve">FN</m:t>
        </m:r>
      </m:oMath>
      <w:r>
        <w:rPr/>
        <w:t>).</w:t>
      </w:r>
    </w:p>
    <w:tbl>
      <w:tblPr>
        <w:tblStyle w:val="Tabellenraster"/>
        <w:tblW w:w="9015" w:type="dxa"/>
        <w:jc w:val="left"/>
        <w:tblInd w:w="0" w:type="dxa"/>
        <w:tblCellMar>
          <w:top w:w="0" w:type="dxa"/>
          <w:left w:w="118" w:type="dxa"/>
          <w:bottom w:w="0" w:type="dxa"/>
          <w:right w:w="108" w:type="dxa"/>
        </w:tblCellMar>
        <w:tblLook w:noVBand="1" w:val="04a0" w:noHBand="0" w:lastColumn="0" w:firstColumn="1" w:lastRow="0" w:firstRow="1"/>
      </w:tblPr>
      <w:tblGrid>
        <w:gridCol w:w="1245"/>
        <w:gridCol w:w="6522"/>
        <w:gridCol w:w="1248"/>
      </w:tblGrid>
      <w:tr>
        <w:trPr/>
        <w:tc>
          <w:tcPr>
            <w:tcW w:w="1245"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Fonts w:eastAsia="" w:eastAsiaTheme="minorEastAsia"/>
              </w:rPr>
            </w:r>
          </w:p>
        </w:tc>
        <w:tc>
          <w:tcPr>
            <w:tcW w:w="6522"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oMath>
          </w:p>
        </w:tc>
        <w:tc>
          <w:tcPr>
            <w:tcW w:w="1248" w:type="dxa"/>
            <w:tcBorders>
              <w:top w:val="nil"/>
              <w:left w:val="nil"/>
              <w:bottom w:val="nil"/>
              <w:right w:val="nil"/>
              <w:insideH w:val="nil"/>
              <w:insideV w:val="nil"/>
            </w:tcBorders>
            <w:shd w:fill="auto" w:val="clear"/>
            <w:vAlign w:val="center"/>
          </w:tcPr>
          <w:p>
            <w:pPr>
              <w:pStyle w:val="Normal"/>
              <w:spacing w:lineRule="auto" w:line="240" w:before="0" w:after="0"/>
              <w:rPr/>
            </w:pPr>
            <w:r>
              <w:rPr>
                <w:rFonts w:eastAsia="" w:eastAsiaTheme="minorEastAsia"/>
              </w:rPr>
              <w:t xml:space="preserve"> </w:t>
            </w:r>
            <w:r>
              <w:rPr>
                <w:rFonts w:eastAsia="" w:eastAsiaTheme="minorEastAsia"/>
              </w:rPr>
              <w:t>(</w:t>
            </w:r>
            <w:r>
              <w:fldChar w:fldCharType="begin"/>
            </w:r>
            <w:r>
              <w:rPr/>
              <w:instrText>STYLEREF 1 \s</w:instrText>
            </w:r>
            <w:r>
              <w:rPr/>
              <w:fldChar w:fldCharType="separate"/>
            </w:r>
            <w:bookmarkStart w:id="191" w:name="__Fieldmark__2065_2337847765"/>
            <w:r>
              <w:rPr/>
              <w:t>3</w:t>
            </w:r>
            <w:bookmarkStart w:id="192" w:name="__Fieldmark__4423_983630037"/>
            <w:r>
              <w:rPr/>
            </w:r>
            <w:r>
              <w:rPr/>
              <w:fldChar w:fldCharType="end"/>
            </w:r>
            <w:bookmarkEnd w:id="191"/>
            <w:bookmarkEnd w:id="192"/>
            <w:r>
              <w:rPr/>
              <w:t>.</w:t>
            </w:r>
            <w:r>
              <w:rPr/>
              <w:fldChar w:fldCharType="begin"/>
            </w:r>
            <w:r>
              <w:rPr/>
              <w:instrText> SEQ Formel \* ARABIC </w:instrText>
            </w:r>
            <w:r>
              <w:rPr/>
              <w:fldChar w:fldCharType="separate"/>
            </w:r>
            <w:r>
              <w:rPr/>
              <w:t>6</w:t>
            </w:r>
            <w:r>
              <w:rPr/>
              <w:fldChar w:fldCharType="end"/>
            </w:r>
            <w:r>
              <w:rPr/>
              <w:t>)</w:t>
            </w:r>
          </w:p>
        </w:tc>
      </w:tr>
    </w:tbl>
    <w:p>
      <w:pPr>
        <w:pStyle w:val="Normal"/>
        <w:rPr/>
      </w:pPr>
      <w:r>
        <w:rPr/>
      </w:r>
    </w:p>
    <w:p>
      <w:pPr>
        <w:pStyle w:val="Normal"/>
        <w:rPr/>
      </w:pPr>
      <w:r>
        <w:rPr/>
      </w:r>
    </w:p>
    <w:p>
      <w:pPr>
        <w:pStyle w:val="Berschrift4"/>
        <w:rPr/>
      </w:pPr>
      <w:r>
        <w:rPr/>
        <w:t>F</w:t>
      </w:r>
      <w:r>
        <w:rPr>
          <w:vertAlign w:val="subscript"/>
        </w:rPr>
        <w:t>1</w:t>
      </w:r>
      <w:r>
        <w:rPr/>
        <w:t xml:space="preserve">-Maß </w:t>
      </w:r>
    </w:p>
    <w:p>
      <w:pPr>
        <w:pStyle w:val="Normal"/>
        <w:rPr/>
      </w:pPr>
      <w:r>
        <w:rPr/>
        <w:t xml:space="preserve">Das F-Maß, ein kombiniertes Maß, ist das harmonische Mittel von Genauigkeit </w:t>
      </w:r>
      <w:r>
        <w:rPr/>
      </w:r>
      <m:oMath xmlns:m="http://schemas.openxmlformats.org/officeDocument/2006/math">
        <m:r>
          <w:rPr>
            <w:rFonts w:ascii="Cambria Math" w:hAnsi="Cambria Math"/>
          </w:rPr>
          <m:t xml:space="preserve">P</m:t>
        </m:r>
      </m:oMath>
      <w:r>
        <w:rPr/>
        <w:t xml:space="preserve"> und Sensitivität </w:t>
      </w:r>
      <w:r>
        <w:rPr/>
      </w:r>
      <m:oMath xmlns:m="http://schemas.openxmlformats.org/officeDocument/2006/math">
        <m:r>
          <w:rPr>
            <w:rFonts w:ascii="Cambria Math" w:hAnsi="Cambria Math"/>
          </w:rPr>
          <m:t xml:space="preserve">S</m:t>
        </m:r>
      </m:oMath>
      <w:r>
        <w:rPr/>
        <w:t xml:space="preserve">. Mit einem Wert zwischen 0 und 1 wird beschreiben, wie gut die Leistung des Modells ist.  </w:t>
      </w:r>
    </w:p>
    <w:tbl>
      <w:tblPr>
        <w:tblStyle w:val="Tabellenraster"/>
        <w:tblW w:w="9015" w:type="dxa"/>
        <w:jc w:val="left"/>
        <w:tblInd w:w="0" w:type="dxa"/>
        <w:tblCellMar>
          <w:top w:w="0" w:type="dxa"/>
          <w:left w:w="118" w:type="dxa"/>
          <w:bottom w:w="0" w:type="dxa"/>
          <w:right w:w="108" w:type="dxa"/>
        </w:tblCellMar>
        <w:tblLook w:noVBand="1" w:val="04a0" w:noHBand="0" w:lastColumn="0" w:firstColumn="1" w:lastRow="0" w:firstRow="1"/>
      </w:tblPr>
      <w:tblGrid>
        <w:gridCol w:w="1245"/>
        <w:gridCol w:w="6522"/>
        <w:gridCol w:w="1248"/>
      </w:tblGrid>
      <w:tr>
        <w:trPr/>
        <w:tc>
          <w:tcPr>
            <w:tcW w:w="1245"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Fonts w:eastAsia="" w:eastAsiaTheme="minorEastAsia"/>
              </w:rPr>
            </w:r>
          </w:p>
        </w:tc>
        <w:tc>
          <w:tcPr>
            <w:tcW w:w="6522"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P·R</m:t>
                  </m:r>
                </m:num>
                <m:den>
                  <m:r>
                    <w:rPr>
                      <w:rFonts w:ascii="Cambria Math" w:hAnsi="Cambria Math"/>
                    </w:rPr>
                    <m:t xml:space="preserve">P</m:t>
                  </m:r>
                  <m:r>
                    <w:rPr>
                      <w:rFonts w:ascii="Cambria Math" w:hAnsi="Cambria Math"/>
                    </w:rPr>
                    <m:t xml:space="preserve">+</m:t>
                  </m:r>
                  <m:r>
                    <w:rPr>
                      <w:rFonts w:ascii="Cambria Math" w:hAnsi="Cambria Math"/>
                    </w:rPr>
                    <m:t xml:space="preserve">R</m:t>
                  </m:r>
                </m:den>
              </m:f>
            </m:oMath>
          </w:p>
        </w:tc>
        <w:tc>
          <w:tcPr>
            <w:tcW w:w="1248" w:type="dxa"/>
            <w:tcBorders>
              <w:top w:val="nil"/>
              <w:left w:val="nil"/>
              <w:bottom w:val="nil"/>
              <w:right w:val="nil"/>
              <w:insideH w:val="nil"/>
              <w:insideV w:val="nil"/>
            </w:tcBorders>
            <w:shd w:fill="auto" w:val="clear"/>
            <w:vAlign w:val="center"/>
          </w:tcPr>
          <w:p>
            <w:pPr>
              <w:pStyle w:val="Normal"/>
              <w:spacing w:lineRule="auto" w:line="240" w:before="0" w:after="0"/>
              <w:rPr>
                <w:rFonts w:eastAsia="" w:eastAsiaTheme="minorEastAsia"/>
              </w:rPr>
            </w:pPr>
            <w:r>
              <w:rPr/>
              <w:t>(</w:t>
            </w:r>
            <w:r>
              <w:fldChar w:fldCharType="begin"/>
            </w:r>
            <w:r>
              <w:rPr/>
              <w:instrText>STYLEREF 1 \s</w:instrText>
            </w:r>
            <w:r>
              <w:rPr/>
              <w:fldChar w:fldCharType="separate"/>
            </w:r>
            <w:bookmarkStart w:id="193" w:name="__Fieldmark__2091_2337847765"/>
            <w:r>
              <w:rPr/>
              <w:t>3</w:t>
            </w:r>
            <w:bookmarkStart w:id="194" w:name="__Fieldmark__4455_983630037"/>
            <w:r>
              <w:rPr/>
            </w:r>
            <w:r>
              <w:rPr/>
              <w:fldChar w:fldCharType="end"/>
            </w:r>
            <w:bookmarkEnd w:id="193"/>
            <w:bookmarkEnd w:id="194"/>
            <w:r>
              <w:rPr/>
              <w:t>.</w:t>
            </w:r>
            <w:r>
              <w:rPr/>
              <w:fldChar w:fldCharType="begin"/>
            </w:r>
            <w:r>
              <w:rPr/>
              <w:instrText> SEQ Formel \* ARABIC </w:instrText>
            </w:r>
            <w:r>
              <w:rPr/>
              <w:fldChar w:fldCharType="separate"/>
            </w:r>
            <w:r>
              <w:rPr/>
              <w:t>7</w:t>
            </w:r>
            <w:r>
              <w:rPr/>
              <w:fldChar w:fldCharType="end"/>
            </w:r>
            <w:r>
              <w:rPr/>
              <w:t>)</w:t>
            </w:r>
          </w:p>
        </w:tc>
      </w:tr>
    </w:tbl>
    <w:p>
      <w:pPr>
        <w:pStyle w:val="Normal"/>
        <w:rPr/>
      </w:pPr>
      <w:r>
        <w:rPr/>
      </w:r>
    </w:p>
    <w:p>
      <w:pPr>
        <w:pStyle w:val="Normal"/>
        <w:rPr/>
      </w:pPr>
      <w:r>
        <w:rPr/>
      </w:r>
    </w:p>
    <w:p>
      <w:pPr>
        <w:pStyle w:val="Berschrift4"/>
        <w:rPr/>
      </w:pPr>
      <w:r>
        <w:rPr/>
        <w:t>AUC</w:t>
      </w:r>
    </w:p>
    <w:p>
      <w:pPr>
        <w:pStyle w:val="Normal"/>
        <w:rPr/>
      </w:pPr>
      <w:r>
        <w:rPr/>
        <w:t xml:space="preserve">Als AUC </w:t>
      </w:r>
      <w:r>
        <w:rPr>
          <w:i/>
          <w:iCs/>
        </w:rPr>
        <w:t>(engl. area under the curve)</w:t>
      </w:r>
      <w:r>
        <w:rPr/>
        <w:t xml:space="preserve"> wird die Fläche unter der sogenannten ROC</w:t>
        <w:noBreakHyphen/>
        <w:t xml:space="preserve">Kurve </w:t>
      </w:r>
      <w:r>
        <w:rPr>
          <w:i/>
          <w:iCs/>
        </w:rPr>
        <w:t>(engl. receiver-operating characteristic curve)</w:t>
      </w:r>
      <w:r>
        <w:rPr/>
        <w:t xml:space="preserve"> angegeben. Die ROC</w:t>
        <w:noBreakHyphen/>
        <w:t xml:space="preserve">Kurve beschreibt den Zusammenhang der Sensitivität </w:t>
      </w:r>
      <w:r>
        <w:rPr/>
      </w:r>
      <m:oMath xmlns:m="http://schemas.openxmlformats.org/officeDocument/2006/math">
        <m:r>
          <w:rPr>
            <w:rFonts w:ascii="Cambria Math" w:hAnsi="Cambria Math"/>
          </w:rPr>
          <m:t xml:space="preserve">R</m:t>
        </m:r>
      </m:oMath>
      <w:r>
        <w:rPr>
          <w:rFonts w:eastAsia="" w:eastAsiaTheme="minorEastAsia"/>
        </w:rPr>
        <w:t xml:space="preserve"> und dem Komplement der Spezifität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S</m:t>
        </m:r>
      </m:oMath>
      <w:r>
        <w:rPr>
          <w:rFonts w:eastAsia="" w:eastAsiaTheme="minorEastAsia"/>
        </w:rPr>
        <w:t xml:space="preserve">. Das Integral unter dieser Kurve nimmt Werte zwischen 0 (konstant falsche Vorhersagen) und 1 (ausschließlich richtige Vorhersagen) an. Bei einem Wert von 0,5 würde ein Klassifikator zufällig die Klassen vorhersagen.   </w:t>
      </w:r>
      <w:r>
        <w:rPr/>
        <w:t xml:space="preserve">   </w:t>
      </w:r>
      <w:r>
        <w:rPr>
          <w:i/>
          <w:iCs/>
        </w:rPr>
        <w:t xml:space="preserve"> </w:t>
      </w:r>
    </w:p>
    <w:p>
      <w:pPr>
        <w:pStyle w:val="Normal"/>
        <w:rPr/>
      </w:pPr>
      <w:r>
        <w:rPr/>
      </w:r>
    </w:p>
    <w:p>
      <w:pPr>
        <w:pStyle w:val="Normal"/>
        <w:rPr/>
      </w:pPr>
      <w:r>
        <w:rPr/>
      </w:r>
    </w:p>
    <w:p>
      <w:pPr>
        <w:pStyle w:val="Berschrift2"/>
        <w:numPr>
          <w:ilvl w:val="1"/>
          <w:numId w:val="2"/>
        </w:numPr>
        <w:rPr/>
      </w:pPr>
      <w:bookmarkStart w:id="195" w:name="_Toc66981165"/>
      <w:bookmarkStart w:id="196" w:name="_Ref66654182"/>
      <w:bookmarkStart w:id="197" w:name="_Toc66477606"/>
      <w:r>
        <w:rPr/>
        <w:t>Datensatz</w:t>
      </w:r>
      <w:bookmarkEnd w:id="197"/>
      <w:r>
        <w:rPr/>
        <w:t>präparation</w:t>
      </w:r>
      <w:bookmarkEnd w:id="195"/>
      <w:bookmarkEnd w:id="196"/>
    </w:p>
    <w:p>
      <w:pPr>
        <w:pStyle w:val="Normal"/>
        <w:rPr/>
      </w:pPr>
      <w:r>
        <w:rPr/>
      </w:r>
    </w:p>
    <w:p>
      <w:pPr>
        <w:pStyle w:val="Abbildung"/>
        <w:rPr/>
      </w:pPr>
      <w:r>
        <w:rPr/>
        <w:drawing>
          <wp:inline distT="0" distB="0" distL="0" distR="0">
            <wp:extent cx="4469130" cy="2771775"/>
            <wp:effectExtent l="0" t="0" r="0" b="0"/>
            <wp:docPr id="13"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3" descr=""/>
                    <pic:cNvPicPr>
                      <a:picLocks noChangeAspect="1" noChangeArrowheads="1"/>
                    </pic:cNvPicPr>
                  </pic:nvPicPr>
                  <pic:blipFill>
                    <a:blip r:embed="rId18"/>
                    <a:srcRect l="626" t="7916" r="21367" b="6084"/>
                    <a:stretch>
                      <a:fillRect/>
                    </a:stretch>
                  </pic:blipFill>
                  <pic:spPr bwMode="auto">
                    <a:xfrm>
                      <a:off x="0" y="0"/>
                      <a:ext cx="4469130" cy="2771775"/>
                    </a:xfrm>
                    <a:prstGeom prst="rect">
                      <a:avLst/>
                    </a:prstGeom>
                  </pic:spPr>
                </pic:pic>
              </a:graphicData>
            </a:graphic>
          </wp:inline>
        </w:drawing>
      </w:r>
    </w:p>
    <w:p>
      <w:pPr>
        <w:pStyle w:val="Caption"/>
        <w:jc w:val="both"/>
        <w:rPr/>
      </w:pPr>
      <w:bookmarkStart w:id="198" w:name="_Ref66659190"/>
      <w:r>
        <w:rPr>
          <w:b/>
          <w:bCs/>
        </w:rPr>
        <w:t xml:space="preserve">Abbildung </w:t>
      </w:r>
      <w:r>
        <w:rPr>
          <w:b/>
          <w:bCs/>
        </w:rPr>
        <w:fldChar w:fldCharType="begin"/>
      </w:r>
      <w:r>
        <w:rPr>
          <w:b/>
          <w:bCs/>
        </w:rPr>
        <w:instrText> SEQ Abbildung \* ARABIC </w:instrText>
      </w:r>
      <w:r>
        <w:rPr>
          <w:b/>
          <w:bCs/>
        </w:rPr>
        <w:fldChar w:fldCharType="separate"/>
      </w:r>
      <w:r>
        <w:rPr>
          <w:b/>
          <w:bCs/>
        </w:rPr>
        <w:t>12</w:t>
      </w:r>
      <w:r>
        <w:rPr>
          <w:b/>
          <w:bCs/>
        </w:rPr>
        <w:fldChar w:fldCharType="end"/>
      </w:r>
      <w:bookmarkEnd w:id="198"/>
      <w:r>
        <w:rPr>
          <w:b/>
          <w:bCs/>
        </w:rPr>
        <w:t>:</w:t>
      </w:r>
      <w:r>
        <w:rPr/>
        <w:t xml:space="preserve"> Übersicht über die gesamte Arbeit mit dem Datensatz und den dafür verwendeten Python</w:t>
        <w:noBreakHyphen/>
        <w:t xml:space="preserve">Skripten. </w:t>
      </w:r>
      <w:r>
        <w:rPr>
          <w:b/>
          <w:bCs/>
        </w:rPr>
        <w:t>Schritt 1</w:t>
      </w:r>
      <w:r>
        <w:rPr/>
        <w:t xml:space="preserve"> entspricht der </w:t>
      </w:r>
      <w:r>
        <w:rPr/>
        <w:fldChar w:fldCharType="begin"/>
      </w:r>
      <w:r>
        <w:rPr/>
        <w:instrText> REF _Ref66654182 \h </w:instrText>
      </w:r>
      <w:r>
        <w:rPr/>
        <w:fldChar w:fldCharType="separate"/>
      </w:r>
      <w:r>
        <w:rPr/>
        <w:t>Datensatzpräparation</w:t>
      </w:r>
      <w:r>
        <w:rPr/>
        <w:fldChar w:fldCharType="end"/>
      </w:r>
      <w:r>
        <w:rPr/>
        <w:t xml:space="preserve">. In </w:t>
      </w:r>
      <w:r>
        <w:rPr>
          <w:b/>
          <w:bCs/>
        </w:rPr>
        <w:t>Schritt 2</w:t>
      </w:r>
      <w:r>
        <w:rPr/>
        <w:t xml:space="preserve"> wird der Datensatz zu einem Training- und Testdatensatz mit beliebiger Größe gesplittet (siehe </w:t>
      </w:r>
      <w:r>
        <w:rPr/>
        <w:fldChar w:fldCharType="begin"/>
      </w:r>
      <w:r>
        <w:rPr/>
        <w:instrText> REF _Ref66662211 \r \h </w:instrText>
      </w:r>
      <w:r>
        <w:rPr/>
        <w:fldChar w:fldCharType="separate"/>
      </w:r>
      <w:r>
        <w:rPr/>
        <w:t>3.4.1</w:t>
      </w:r>
      <w:r>
        <w:rPr/>
        <w:fldChar w:fldCharType="end"/>
      </w:r>
      <w:r>
        <w:rPr/>
        <w:t xml:space="preserve">). Mit </w:t>
      </w:r>
      <w:r>
        <w:rPr>
          <w:b/>
          <w:bCs/>
        </w:rPr>
        <w:t>Schritt 3a und 3b</w:t>
      </w:r>
      <w:r>
        <w:rPr/>
        <w:t xml:space="preserve"> wird der Datensatz für die Kreuzvalidierung vorbereitet (siehe </w:t>
      </w:r>
      <w:r>
        <w:rPr/>
        <w:fldChar w:fldCharType="begin"/>
      </w:r>
      <w:r>
        <w:rPr/>
        <w:instrText> REF _Ref66976323 \r \h </w:instrText>
      </w:r>
      <w:r>
        <w:rPr/>
        <w:fldChar w:fldCharType="separate"/>
      </w:r>
      <w:r>
        <w:rPr/>
        <w:t>3.3.2</w:t>
      </w:r>
      <w:r>
        <w:rPr/>
        <w:fldChar w:fldCharType="end"/>
      </w:r>
      <w:r>
        <w:rPr/>
        <w:t xml:space="preserve"> ).</w:t>
      </w:r>
    </w:p>
    <w:p>
      <w:pPr>
        <w:pStyle w:val="Normal"/>
        <w:rPr/>
      </w:pPr>
      <w:r>
        <w:rPr/>
      </w:r>
    </w:p>
    <w:p>
      <w:pPr>
        <w:pStyle w:val="Normal"/>
        <w:rPr/>
      </w:pPr>
      <w:r>
        <w:rPr/>
        <w:t xml:space="preserve">Bei der Datensatzpräparation geht es darum, den Datensatz </w:t>
      </w:r>
      <w:r>
        <w:rPr>
          <w:rStyle w:val="FilenameZchn"/>
        </w:rPr>
        <w:t>CPI</w:t>
        <w:noBreakHyphen/>
        <w:t>DS.xml</w:t>
      </w:r>
      <w:r>
        <w:rPr/>
        <w:t xml:space="preserve">, wie er in </w:t>
      </w:r>
      <w:r>
        <w:rPr/>
        <w:fldChar w:fldCharType="begin"/>
      </w:r>
      <w:r>
        <w:rPr/>
        <w:instrText> REF _Ref66653898 \r \h </w:instrText>
      </w:r>
      <w:r>
        <w:rPr/>
        <w:fldChar w:fldCharType="separate"/>
      </w:r>
      <w:r>
        <w:rPr/>
        <w:t>3.1.3</w:t>
      </w:r>
      <w:r>
        <w:rPr/>
        <w:fldChar w:fldCharType="end"/>
      </w:r>
      <w:r>
        <w:rPr/>
        <w:t xml:space="preserve"> beschrieben ist (XML</w:t>
        <w:noBreakHyphen/>
        <w:t>Datei), in das für die Verwendung am BioBERT</w:t>
        <w:noBreakHyphen/>
        <w:t>Modell notwenige TSV</w:t>
        <w:noBreakHyphen/>
        <w:t>Format zu konvertieren. Das wird mit dem Python</w:t>
        <w:noBreakHyphen/>
        <w:t xml:space="preserve">Skript </w:t>
      </w:r>
      <w:bookmarkStart w:id="199" w:name="_Hlk66658644"/>
      <w:r>
        <w:rPr>
          <w:rStyle w:val="FilenameZchn"/>
        </w:rPr>
        <w:t>xml_to_bert.py</w:t>
      </w:r>
      <w:bookmarkEnd w:id="199"/>
      <w:r>
        <w:rPr>
          <w:rStyle w:val="FilenameZchn"/>
        </w:rPr>
        <w:t xml:space="preserve"> </w:t>
      </w:r>
      <w:r>
        <w:rPr/>
        <w:t xml:space="preserve">durchgeführt. Der fertig konvertierte Datensatz </w:t>
      </w:r>
      <w:r>
        <w:rPr>
          <w:rStyle w:val="FilenameZchn"/>
        </w:rPr>
        <w:t>CPI</w:t>
        <w:noBreakHyphen/>
        <w:t>DS_full_cut.tsv</w:t>
      </w:r>
      <w:r>
        <w:rPr/>
        <w:t xml:space="preserve"> besteht aus drei Spalten. Ein Ausschnitt daraus ist in </w:t>
      </w:r>
      <w:r>
        <w:rPr/>
        <w:fldChar w:fldCharType="begin"/>
      </w:r>
      <w:r>
        <w:rPr/>
        <w:instrText> REF _Ref66659694 \h </w:instrText>
      </w:r>
      <w:r>
        <w:rPr/>
        <w:fldChar w:fldCharType="separate"/>
      </w:r>
      <w:r>
        <w:rPr/>
        <w:t>Abbildung 13</w:t>
      </w:r>
      <w:r>
        <w:rPr/>
        <w:fldChar w:fldCharType="end"/>
      </w:r>
      <w:r>
        <w:rPr/>
        <w:t xml:space="preserve"> zu sehen. Die wichtigste Änderung ist, dass, unter Verwendung des </w:t>
      </w:r>
      <w:r>
        <w:rPr>
          <w:rFonts w:cs="Times New Roman"/>
        </w:rPr>
        <w:t xml:space="preserve">„charOffset“ (siehe </w:t>
      </w:r>
      <w:r>
        <w:rPr>
          <w:rFonts w:cs="Times New Roman"/>
        </w:rPr>
        <w:fldChar w:fldCharType="begin"/>
      </w:r>
      <w:r>
        <w:rPr>
          <w:rFonts w:cs="Times New Roman"/>
        </w:rPr>
        <w:instrText> REF _Ref66628449 \h </w:instrText>
      </w:r>
      <w:r>
        <w:rPr>
          <w:rFonts w:cs="Times New Roman"/>
        </w:rPr>
        <w:fldChar w:fldCharType="separate"/>
      </w:r>
      <w:r>
        <w:rPr>
          <w:rFonts w:cs="Times New Roman"/>
        </w:rPr>
        <w:t>Abbildung 11</w:t>
      </w:r>
      <w:r>
        <w:rPr>
          <w:rFonts w:cs="Times New Roman"/>
        </w:rPr>
        <w:fldChar w:fldCharType="end"/>
      </w:r>
      <w:r>
        <w:rPr>
          <w:rFonts w:cs="Times New Roman"/>
        </w:rPr>
        <w:t>),</w:t>
      </w:r>
      <w:r>
        <w:rPr/>
        <w:t xml:space="preserve"> die konkreten Namen der Entitäten mit @PROTEIN$ bzw. @COMPOUND$ ersetzt sind. Außerdem wird jeder Satz mit einer ID verknüpft, die für das spätere Splitten des Datensatzes (siehe 2 und 3 in </w:t>
      </w:r>
      <w:r>
        <w:rPr/>
        <w:fldChar w:fldCharType="begin"/>
      </w:r>
      <w:r>
        <w:rPr/>
        <w:instrText> REF _Ref66659190 \h </w:instrText>
      </w:r>
      <w:r>
        <w:rPr/>
        <w:fldChar w:fldCharType="separate"/>
      </w:r>
      <w:r>
        <w:rPr/>
        <w:t>Abbildung 12</w:t>
      </w:r>
      <w:r>
        <w:rPr/>
        <w:fldChar w:fldCharType="end"/>
      </w:r>
      <w:r>
        <w:rPr/>
        <w:t xml:space="preserve">) benötigt wird.    </w:t>
      </w:r>
    </w:p>
    <w:p>
      <w:pPr>
        <w:pStyle w:val="Normal"/>
        <w:rPr/>
      </w:pPr>
      <w:r>
        <w:rPr/>
        <w:t xml:space="preserve">Das Skript kann in dem Ordner </w:t>
      </w:r>
      <w:bookmarkStart w:id="200" w:name="_Hlk66663455"/>
      <w:r>
        <w:rPr>
          <w:rStyle w:val="FilenameZchn"/>
        </w:rPr>
        <w:t>DS_preparation</w:t>
      </w:r>
      <w:r>
        <w:rPr/>
        <w:t xml:space="preserve"> </w:t>
      </w:r>
      <w:bookmarkEnd w:id="200"/>
      <w:r>
        <w:rPr/>
        <w:t xml:space="preserve">gefunden werden. Um es zu verwenden, muss in der letzten Zeile des Skriptes in die Funktion </w:t>
      </w:r>
      <w:r>
        <w:rPr>
          <w:rStyle w:val="FilenameZchn"/>
        </w:rPr>
        <w:t>main()</w:t>
      </w:r>
      <w:r>
        <w:rPr/>
        <w:t xml:space="preserve">der zu konvertierende Dateiname </w:t>
      </w:r>
      <w:r>
        <w:rPr>
          <w:rStyle w:val="FilenameZchn"/>
        </w:rPr>
        <w:t>CPI</w:t>
        <w:noBreakHyphen/>
        <w:t>DS.xml</w:t>
      </w:r>
      <w:r>
        <w:rPr/>
        <w:t xml:space="preserve"> eingefügt werden und das Skript mit folgendem Befehl gestartet werden:</w:t>
      </w:r>
    </w:p>
    <w:p>
      <w:pPr>
        <w:pStyle w:val="Termcommand"/>
        <w:rPr/>
      </w:pPr>
      <w:r>
        <w:rPr/>
        <w:t xml:space="preserve">$ cd DS_preparation   </w:t>
      </w:r>
    </w:p>
    <w:p>
      <w:pPr>
        <w:pStyle w:val="Termcommand"/>
        <w:rPr/>
      </w:pPr>
      <w:r>
        <w:rPr/>
        <w:t xml:space="preserve">$ python3 xml_to_bert.py    </w:t>
      </w:r>
    </w:p>
    <w:p>
      <w:pPr>
        <w:pStyle w:val="Normal"/>
        <w:rPr/>
      </w:pPr>
      <w:r>
        <w:rPr>
          <w:rStyle w:val="FilenameZchn"/>
        </w:rPr>
        <w:t xml:space="preserve"> </w:t>
      </w:r>
      <w:r>
        <w:rPr/>
        <w:t xml:space="preserve">  </w:t>
      </w:r>
      <w:r>
        <w:rPr>
          <w:rStyle w:val="FilenameZchn"/>
        </w:rPr>
        <w:t xml:space="preserve"> </w:t>
      </w:r>
      <w:r>
        <w:rPr/>
        <w:t xml:space="preserve">  </w:t>
      </w:r>
    </w:p>
    <w:p>
      <w:pPr>
        <w:pStyle w:val="Normal"/>
        <w:rPr/>
      </w:pPr>
      <w:r>
        <w:rPr/>
        <w:t>Es muss bestätigt werden, dass eine gecuttete Version des Datensatzes erzeugt werden soll. Dies ist notwendig, um Probleme bei dem Ersetzen der Entitäten mit ihren Platzhaltern zu verhindern. Beim Cutten werden 13 Sätze mit CPI</w:t>
        <w:noBreakHyphen/>
        <w:t xml:space="preserve">Paaren aussortiert, bei denen sich das Protein mit der chem. Verbindung überschneitet. Die aussortierten Sätze können durch Bestätigen der Frage "aussortierte Sätze printen?" in dem Terminal ausgegeben werden.         </w:t>
      </w:r>
      <w:bookmarkStart w:id="201" w:name="_MON_1677269266"/>
      <w:bookmarkEnd w:id="201"/>
    </w:p>
    <w:p>
      <w:pPr>
        <w:pStyle w:val="Abbildung"/>
        <w:rPr/>
      </w:pPr>
      <w:r>
        <w:rPr/>
        <w:object>
          <v:shape id="ole_rId19" style="width:404.35pt;height:156.65pt" o:ole="">
            <v:imagedata r:id="rId20" o:title=""/>
          </v:shape>
          <o:OLEObject Type="Embed" ProgID="Excel.Sheet.12" ShapeID="ole_rId19" DrawAspect="Content" ObjectID="_229771844" r:id="rId19"/>
        </w:object>
      </w:r>
    </w:p>
    <w:p>
      <w:pPr>
        <w:pStyle w:val="Caption"/>
        <w:rPr/>
      </w:pPr>
      <w:bookmarkStart w:id="202" w:name="_Ref66659694"/>
      <w:r>
        <w:rPr>
          <w:b/>
          <w:bCs/>
        </w:rPr>
        <w:t xml:space="preserve">Abbildung </w:t>
      </w:r>
      <w:r>
        <w:rPr>
          <w:b/>
          <w:bCs/>
        </w:rPr>
        <w:fldChar w:fldCharType="begin"/>
      </w:r>
      <w:r>
        <w:rPr>
          <w:b/>
          <w:bCs/>
        </w:rPr>
        <w:instrText> SEQ Abbildung \* ARABIC </w:instrText>
      </w:r>
      <w:r>
        <w:rPr>
          <w:b/>
          <w:bCs/>
        </w:rPr>
        <w:fldChar w:fldCharType="separate"/>
      </w:r>
      <w:r>
        <w:rPr>
          <w:b/>
          <w:bCs/>
        </w:rPr>
        <w:t>13</w:t>
      </w:r>
      <w:r>
        <w:rPr>
          <w:b/>
          <w:bCs/>
        </w:rPr>
        <w:fldChar w:fldCharType="end"/>
      </w:r>
      <w:bookmarkEnd w:id="202"/>
      <w:r>
        <w:rPr>
          <w:b/>
          <w:bCs/>
        </w:rPr>
        <w:t>:</w:t>
      </w:r>
      <w:r>
        <w:rPr/>
        <w:t xml:space="preserve"> Ausschnitt aus dem konvertierten Datensatz </w:t>
      </w:r>
      <w:r>
        <w:rPr>
          <w:rStyle w:val="FilenameZchn"/>
        </w:rPr>
        <w:t>CPI</w:t>
        <w:noBreakHyphen/>
        <w:t>DS_full_cut.tsv</w:t>
      </w:r>
      <w:r>
        <w:rPr/>
        <w:t>.</w:t>
      </w:r>
      <w:r>
        <w:rPr>
          <w:rStyle w:val="FilenameZchn"/>
        </w:rPr>
        <w:t xml:space="preserve"> </w:t>
      </w:r>
      <w:r>
        <w:rPr/>
        <w:t>Jede Zeile beinhaltet ein CPI</w:t>
        <w:noBreakHyphen/>
        <w:t>Paar. Es gibt pro CPI</w:t>
        <w:noBreakHyphen/>
        <w:t xml:space="preserve">Paar drei Einträge: </w:t>
      </w:r>
      <w:r>
        <w:rPr>
          <w:b/>
          <w:bCs/>
        </w:rPr>
        <w:t>Eintrag 1</w:t>
      </w:r>
      <w:r>
        <w:rPr/>
        <w:t xml:space="preserve"> enthält den Satz aus dem Artikel mit dem CPI</w:t>
        <w:noBreakHyphen/>
        <w:t xml:space="preserve">Paar. </w:t>
      </w:r>
      <w:r>
        <w:rPr>
          <w:b/>
          <w:bCs/>
        </w:rPr>
        <w:t>Eintrag 2</w:t>
      </w:r>
      <w:r>
        <w:rPr/>
        <w:t xml:space="preserve"> ist das Label des CPI</w:t>
        <w:noBreakHyphen/>
        <w:t xml:space="preserve">Paars („1“: funktionale Interaktion, „0“: keine funktionale Interaktion). </w:t>
      </w:r>
      <w:r>
        <w:rPr>
          <w:b/>
          <w:bCs/>
        </w:rPr>
        <w:t>Eintrag 3</w:t>
      </w:r>
      <w:r>
        <w:rPr/>
        <w:t xml:space="preserve"> enthält eine artikel- und satzspezifische ID. Wenn ein Satz mehrere verschiedene CPI</w:t>
        <w:softHyphen/>
        <w:noBreakHyphen/>
        <w:t xml:space="preserve">Paare enthält, erhalten alle dieselbe ID.      </w:t>
      </w:r>
    </w:p>
    <w:p>
      <w:pPr>
        <w:pStyle w:val="Normal"/>
        <w:rPr/>
      </w:pPr>
      <w:r>
        <w:rPr/>
      </w:r>
    </w:p>
    <w:p>
      <w:pPr>
        <w:pStyle w:val="Normal"/>
        <w:rPr/>
      </w:pPr>
      <w:r>
        <w:rPr/>
        <w:t xml:space="preserve">Das Splitten dieses konvertierten Datensatzes für das Trainieren von BioBERT ist in </w:t>
      </w:r>
      <w:r>
        <w:rPr/>
        <w:fldChar w:fldCharType="begin"/>
      </w:r>
      <w:r>
        <w:rPr/>
        <w:instrText> REF _Ref66662244 \r \h </w:instrText>
      </w:r>
      <w:r>
        <w:rPr/>
        <w:fldChar w:fldCharType="separate"/>
      </w:r>
      <w:r>
        <w:rPr/>
        <w:t>Fehler: Verweis nicht gefunden</w:t>
      </w:r>
      <w:r>
        <w:rPr/>
        <w:fldChar w:fldCharType="end"/>
      </w:r>
      <w:r>
        <w:rPr/>
        <w:t xml:space="preserve"> und </w:t>
      </w:r>
      <w:r>
        <w:rPr/>
        <w:fldChar w:fldCharType="begin"/>
      </w:r>
      <w:r>
        <w:rPr/>
        <w:instrText> REF _Ref66662211 \r \h </w:instrText>
      </w:r>
      <w:r>
        <w:rPr/>
        <w:fldChar w:fldCharType="separate"/>
      </w:r>
      <w:r>
        <w:rPr/>
        <w:t>3.4.1</w:t>
      </w:r>
      <w:r>
        <w:rPr/>
        <w:fldChar w:fldCharType="end"/>
      </w:r>
      <w:r>
        <w:rPr/>
        <w:t xml:space="preserve"> beschrieben.</w:t>
      </w:r>
    </w:p>
    <w:p>
      <w:pPr>
        <w:pStyle w:val="Normal"/>
        <w:rPr/>
      </w:pPr>
      <w:r>
        <w:rPr/>
      </w:r>
    </w:p>
    <w:p>
      <w:pPr>
        <w:pStyle w:val="Berschrift2"/>
        <w:numPr>
          <w:ilvl w:val="1"/>
          <w:numId w:val="2"/>
        </w:numPr>
        <w:rPr/>
      </w:pPr>
      <w:bookmarkStart w:id="203" w:name="_Toc66477608"/>
      <w:bookmarkStart w:id="204" w:name="_Ref66745689"/>
      <w:bookmarkStart w:id="205" w:name="_Toc66981166"/>
      <w:bookmarkStart w:id="206" w:name="_Ref65328111"/>
      <w:r>
        <w:rPr/>
        <w:t>10-fache Kreuzvalidierung</w:t>
      </w:r>
      <w:bookmarkEnd w:id="203"/>
      <w:bookmarkEnd w:id="204"/>
      <w:bookmarkEnd w:id="206"/>
      <w:r>
        <w:rPr/>
        <w:t xml:space="preserve"> für den Modellvergleich</w:t>
      </w:r>
      <w:bookmarkEnd w:id="205"/>
    </w:p>
    <w:p>
      <w:pPr>
        <w:pStyle w:val="Berschrift3"/>
        <w:numPr>
          <w:ilvl w:val="2"/>
          <w:numId w:val="2"/>
        </w:numPr>
        <w:rPr/>
      </w:pPr>
      <w:bookmarkStart w:id="207" w:name="_Ref66722214"/>
      <w:bookmarkStart w:id="208" w:name="_Toc66981167"/>
      <w:r>
        <w:rPr/>
      </w:r>
      <m:oMath xmlns:m="http://schemas.openxmlformats.org/officeDocument/2006/math">
        <m:r>
          <w:rPr>
            <w:rFonts w:ascii="Cambria Math" w:hAnsi="Cambria Math"/>
          </w:rPr>
          <m:t xml:space="preserve">k</m:t>
        </m:r>
      </m:oMath>
      <w:r>
        <w:rPr/>
        <w:t>-fache Kreuzvalidierung</w:t>
      </w:r>
      <w:bookmarkEnd w:id="207"/>
      <w:bookmarkEnd w:id="208"/>
    </w:p>
    <w:p>
      <w:pPr>
        <w:pStyle w:val="Normal"/>
        <w:rPr/>
      </w:pPr>
      <w:r>
        <w:rPr/>
        <w:t xml:space="preserve">Bei einer </w:t>
      </w:r>
      <w:r>
        <w:rPr/>
      </w:r>
      <m:oMath xmlns:m="http://schemas.openxmlformats.org/officeDocument/2006/math">
        <m:r>
          <w:rPr>
            <w:rFonts w:ascii="Cambria Math" w:hAnsi="Cambria Math"/>
          </w:rPr>
          <m:t xml:space="preserve">k</m:t>
        </m:r>
      </m:oMath>
      <w:r>
        <w:rPr/>
        <w:t xml:space="preserve">-fachen Kreuzvalidierung wird der Datensatz zufällig in </w:t>
      </w:r>
      <w:r>
        <w:rPr/>
      </w:r>
      <m:oMath xmlns:m="http://schemas.openxmlformats.org/officeDocument/2006/math">
        <m:r>
          <w:rPr>
            <w:rFonts w:ascii="Cambria Math" w:hAnsi="Cambria Math"/>
          </w:rPr>
          <m:t xml:space="preserve">k</m:t>
        </m:r>
      </m:oMath>
      <w:r>
        <w:rPr/>
        <w:t xml:space="preserve"> Teilmengen der gleichen Größe gesplittet. Ein Modell wird jeweils mit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t xml:space="preserve"> Teilmengen trainiert (Trainingsdatensatz) und anschließend an der übrigen Teilmenge als Testdatensatz geprüft. Die erhaltenen Bewertungen jedes der </w:t>
      </w:r>
      <w:r>
        <w:rPr/>
      </w:r>
      <m:oMath xmlns:m="http://schemas.openxmlformats.org/officeDocument/2006/math">
        <m:r>
          <w:rPr>
            <w:rFonts w:ascii="Cambria Math" w:hAnsi="Cambria Math"/>
          </w:rPr>
          <m:t xml:space="preserve">k</m:t>
        </m:r>
      </m:oMath>
      <w:r>
        <w:rPr/>
        <w:t xml:space="preserve">-Durchgänge werden anschließend gemittelt. Dadurch wird erreicht, dass der Einfluss von leichteren und schweren Beispielen des Datensatzes gemittelt werden und folglich die allgemeine Fähigkeit des Klassifikators, Muster aus einem Datensatz zu generalisieren, ermittelt werden kann </w:t>
      </w:r>
      <w:r>
        <w:fldChar w:fldCharType="begin"/>
      </w:r>
      <w:r>
        <w:rPr/>
        <w:instrText>ADDIN CSL_CITATION {"citationItems":[{"id":"ITEM-1","itemData":{"abstract":"Text Mining umfasst eine Vielzahl von Methoden zur Extraktion von Informationen aus Sammlungen von Texten. Der größte frei zugängliche Suchdienst für biomedizinische Forschungsergebnisse ist PubMed. Die Programmbibliothek PubMed2Go wurde im Rahmen dieser Arbeit entwickelt um beliebige Datensätze der PubMed zu indexieren und durchsuchbar zu machen. Desweiteren ermöglicht die Verwendung eines speziellen Dateiformats die einheitliche Nutzung weiterführender Anwendungen zur Wissensgewinnung. Mit Hilfe der geeigneten Infrastruktur konnten Modelle zur Vorhersage von funktionellen Beziehungen zwischen chemischen Kleinstrukturen und Proteinen in Sätzen von Texten der PubMed entwickelt werden. Der gewählte Ansatz des maschinellen Lernens wurde auf Grundlage eines eigens neu annotierten Datensatzes evaluiert. Die erfolgreiche Verwendung einer Support Vector Machine mit zwei verschiedenen Kernel-Funktionen resultierte in einem kreuzvalidierten F-Maß von ca. 80 %. Text Mining ermöglicht die effiziente Verknüpfung von Informationen aus der Literatur mit strukturellen oder sequenzbasierten Information aus spezifischen Datenbanken. Eine Plattform, die auf diese Weise miteinander verbundene Quellen über Annotationen von Experten bereitstellt, ist ChemIDplus. Die Toxizität darin enthaltener chemischer Kleinstrukturen wurde hinsichtlich der mittleren letalen Dosis auf Grundlage von molekularen Deskriptoren mit einer kreuzvalidierten Genauigkeit von bis zu 91 % vorhersagt. Die vier verwendeten algorithmischen Klassifierungsansätze lauten Entscheidungsbaum, Random Forest, künstliches neuronales Netz und Support Vector Machine. Der Random Forest erzielte das beste Ergebnis mit einem Area Under Curve-Wert von ca. 97 %. Das Synchronisieren annotierter Daten ist eine komplexe Aufgabe, die in dieser Arbeit im Zusammenhang mit der StreptomeDB beschrieben wird, einer Datenbank basierend auf verschiedenen Informationsquellen der Bakteriengattung Streptomyces. Es wurde ein Workflow zur Aktualisierung der Datenbank entwickelt, mit Hilfe dessen ca. 1600 neue Strukturen von ca. 600 verschiedenen Organismen in StreptomeDB integriert werden konnten, inklusive einer Fülle von Synthesewegen und Aktivitäten. Die hier vorgestellten Ergebnisse zeigen, dass die Nutzung von maschinellem Lernen in Kombination mit automatisiertem Text Mining und manueller Annotation zur Neuverknüpfung und Generation von Wissen führt.","author":[{"dropping-particle":"","family":"Kersten Döring","given":"","non-dropping-particle":"","parse-names":false,"suffix":""}],"id":"ITEM-1","issued":{"date-parts":[["2015"]]},"number-of-pages":"2015","publisher":"Albert-Ludwigs-Universität Freiburg im Breisgau","title":"Processing Information about Biomolecules with Text Mining and Machine Learning Approaches","type":"thesis"},"uris":["http://www.mendeley.com/documents/?uuid=3bdd5ec9-2fe9-421f-a1e5-1b8c6106e260"]}],"mendeley":{"formattedCitation":"[42]","plainTextFormattedCitation":"[42]","previouslyFormattedCitation":"[42]"},"properties":{"noteIndex":0},"schema":"https://github.com/citation-style-language/schema/raw/master/csl-citation.json"}</w:instrText>
      </w:r>
      <w:r>
        <w:rPr/>
        <w:fldChar w:fldCharType="separate"/>
      </w:r>
      <w:bookmarkStart w:id="209" w:name="__Fieldmark__2283_2337847765"/>
      <w:r>
        <w:rPr/>
        <w:t>[</w:t>
      </w:r>
      <w:bookmarkStart w:id="210" w:name="__Fieldmark__4808_983630037"/>
      <w:r>
        <w:rPr/>
        <w:t>42]</w:t>
      </w:r>
      <w:r>
        <w:rPr/>
      </w:r>
      <w:r>
        <w:rPr/>
        <w:fldChar w:fldCharType="end"/>
      </w:r>
      <w:bookmarkEnd w:id="209"/>
      <w:bookmarkEnd w:id="210"/>
      <w:r>
        <w:rPr/>
        <w:t>.</w:t>
      </w:r>
    </w:p>
    <w:p>
      <w:pPr>
        <w:pStyle w:val="Normal"/>
        <w:rPr/>
      </w:pPr>
      <w:r>
        <w:rPr/>
        <w:t xml:space="preserve">Für das Klassifizieren von CPI ist es wichtig beim Splitten des Datensatzes alle Interaktionen, welche aus demselben Artikel stammen, in dieselbe Teilmenge zu übertragen. Diese Interaktionen werden als nicht unabhängig angesehen und beim Aufteilen dieser auf verschiedene Teilmengen des Datensatzes wäre eine repräsentative Bewertung des Modells nicht sichergestellt </w:t>
      </w:r>
      <w:r>
        <w:fldChar w:fldCharType="begin"/>
      </w:r>
      <w:r>
        <w:rPr/>
        <w:instrText>ADDIN CSL_CITATION {"citationItems":[{"id":"ITEM-1","itemData":{"abstract":"Text Mining umfasst eine Vielzahl von Methoden zur Extraktion von Informationen aus Sammlungen von Texten. Der größte frei zugängliche Suchdienst für biomedizinische Forschungsergebnisse ist PubMed. Die Programmbibliothek PubMed2Go wurde im Rahmen dieser Arbeit entwickelt um beliebige Datensätze der PubMed zu indexieren und durchsuchbar zu machen. Desweiteren ermöglicht die Verwendung eines speziellen Dateiformats die einheitliche Nutzung weiterführender Anwendungen zur Wissensgewinnung. Mit Hilfe der geeigneten Infrastruktur konnten Modelle zur Vorhersage von funktionellen Beziehungen zwischen chemischen Kleinstrukturen und Proteinen in Sätzen von Texten der PubMed entwickelt werden. Der gewählte Ansatz des maschinellen Lernens wurde auf Grundlage eines eigens neu annotierten Datensatzes evaluiert. Die erfolgreiche Verwendung einer Support Vector Machine mit zwei verschiedenen Kernel-Funktionen resultierte in einem kreuzvalidierten F-Maß von ca. 80 %. Text Mining ermöglicht die effiziente Verknüpfung von Informationen aus der Literatur mit strukturellen oder sequenzbasierten Information aus spezifischen Datenbanken. Eine Plattform, die auf diese Weise miteinander verbundene Quellen über Annotationen von Experten bereitstellt, ist ChemIDplus. Die Toxizität darin enthaltener chemischer Kleinstrukturen wurde hinsichtlich der mittleren letalen Dosis auf Grundlage von molekularen Deskriptoren mit einer kreuzvalidierten Genauigkeit von bis zu 91 % vorhersagt. Die vier verwendeten algorithmischen Klassifierungsansätze lauten Entscheidungsbaum, Random Forest, künstliches neuronales Netz und Support Vector Machine. Der Random Forest erzielte das beste Ergebnis mit einem Area Under Curve-Wert von ca. 97 %. Das Synchronisieren annotierter Daten ist eine komplexe Aufgabe, die in dieser Arbeit im Zusammenhang mit der StreptomeDB beschrieben wird, einer Datenbank basierend auf verschiedenen Informationsquellen der Bakteriengattung Streptomyces. Es wurde ein Workflow zur Aktualisierung der Datenbank entwickelt, mit Hilfe dessen ca. 1600 neue Strukturen von ca. 600 verschiedenen Organismen in StreptomeDB integriert werden konnten, inklusive einer Fülle von Synthesewegen und Aktivitäten. Die hier vorgestellten Ergebnisse zeigen, dass die Nutzung von maschinellem Lernen in Kombination mit automatisiertem Text Mining und manueller Annotation zur Neuverknüpfung und Generation von Wissen führt.","author":[{"dropping-particle":"","family":"Kersten Döring","given":"","non-dropping-particle":"","parse-names":false,"suffix":""}],"id":"ITEM-1","issued":{"date-parts":[["2015"]]},"number-of-pages":"2015","publisher":"Albert-Ludwigs-Universität Freiburg im Breisgau","title":"Processing Information about Biomolecules with Text Mining and Machine Learning Approaches","type":"thesis"},"uris":["http://www.mendeley.com/documents/?uuid=3bdd5ec9-2fe9-421f-a1e5-1b8c6106e260"]}],"mendeley":{"formattedCitation":"[42]","plainTextFormattedCitation":"[42]"},"properties":{"noteIndex":0},"schema":"https://github.com/citation-style-language/schema/raw/master/csl-citation.json"}</w:instrText>
      </w:r>
      <w:r>
        <w:rPr/>
        <w:fldChar w:fldCharType="separate"/>
      </w:r>
      <w:bookmarkStart w:id="211" w:name="__Fieldmark__2291_2337847765"/>
      <w:r>
        <w:rPr/>
        <w:t>[</w:t>
      </w:r>
      <w:bookmarkStart w:id="212" w:name="__Fieldmark__4833_983630037"/>
      <w:r>
        <w:rPr/>
        <w:t>42]</w:t>
      </w:r>
      <w:r>
        <w:rPr/>
      </w:r>
      <w:r>
        <w:rPr/>
        <w:fldChar w:fldCharType="end"/>
      </w:r>
      <w:bookmarkEnd w:id="211"/>
      <w:bookmarkEnd w:id="212"/>
      <w:r>
        <w:rPr/>
        <w:t>.</w:t>
      </w:r>
    </w:p>
    <w:p>
      <w:pPr>
        <w:pStyle w:val="Normal"/>
        <w:rPr/>
      </w:pPr>
      <w:r>
        <w:rPr/>
        <w:t xml:space="preserve">Generell kann die Varianz von Kreuzvalidierungen, durch mehrfaches Durchführen, verringert werden.  </w:t>
      </w:r>
      <w:commentRangeStart w:id="12"/>
      <w:r>
        <w:rPr/>
        <w:t xml:space="preserve">In dieser Arbeit werden nach dem beschriebenen Ablauf zwei </w:t>
      </w:r>
      <w:r>
        <w:rPr/>
      </w:r>
      <m:oMath xmlns:m="http://schemas.openxmlformats.org/officeDocument/2006/math">
        <m:r>
          <w:rPr>
            <w:rFonts w:ascii="Cambria Math" w:hAnsi="Cambria Math"/>
          </w:rPr>
          <m:t xml:space="preserve">10</m:t>
        </m:r>
      </m:oMath>
      <w:r>
        <w:rPr>
          <w:rFonts w:eastAsia="" w:eastAsiaTheme="minorEastAsia"/>
        </w:rPr>
        <w:t>-</w:t>
      </w:r>
      <w:r>
        <w:rPr/>
        <w:t>fache Kreuzvalidierungen durchgeführt.</w:t>
      </w:r>
      <w:commentRangeEnd w:id="12"/>
      <w:r>
        <w:commentReference w:id="12"/>
      </w:r>
      <w:r>
        <w:rPr/>
      </w:r>
    </w:p>
    <w:p>
      <w:pPr>
        <w:pStyle w:val="Berschrift3"/>
        <w:numPr>
          <w:ilvl w:val="2"/>
          <w:numId w:val="2"/>
        </w:numPr>
        <w:rPr/>
      </w:pPr>
      <w:r>
        <w:rPr/>
        <w:t xml:space="preserve">Splitten des Datensatzes </w:t>
      </w:r>
      <w:commentRangeStart w:id="13"/>
      <w:r>
        <w:rPr/>
        <w:t>für 10-fache Kreuzvalidierung</w:t>
      </w:r>
      <w:bookmarkStart w:id="213" w:name="_Ref66976323"/>
      <w:bookmarkStart w:id="214" w:name="_Toc66981168"/>
      <w:bookmarkEnd w:id="213"/>
      <w:bookmarkEnd w:id="214"/>
      <w:commentRangeEnd w:id="13"/>
      <w:r>
        <w:commentReference w:id="13"/>
      </w:r>
      <w:r>
        <w:rPr/>
      </w:r>
    </w:p>
    <w:p>
      <w:pPr>
        <w:pStyle w:val="Normal"/>
        <w:rPr/>
      </w:pPr>
      <w:r>
        <w:rPr/>
        <w:t xml:space="preserve">Anhand von 3a und 3b in </w:t>
      </w:r>
      <w:r>
        <w:rPr/>
        <w:fldChar w:fldCharType="begin"/>
      </w:r>
      <w:r>
        <w:rPr/>
        <w:instrText> REF _Ref66659190 \h </w:instrText>
      </w:r>
      <w:r>
        <w:rPr/>
        <w:fldChar w:fldCharType="separate"/>
      </w:r>
      <w:r>
        <w:rPr/>
        <w:t>Abbildung 12</w:t>
      </w:r>
      <w:r>
        <w:rPr/>
        <w:fldChar w:fldCharType="end"/>
      </w:r>
      <w:r>
        <w:rPr/>
        <w:t xml:space="preserve"> kann das Vorgehen für das Splitten des Datensatzes nachvollzogen werden. Im ersten Schritt (3a) wird der Datensatz </w:t>
      </w:r>
      <w:r>
        <w:rPr>
          <w:rStyle w:val="FilenameZchn"/>
        </w:rPr>
        <w:t>CPI</w:t>
        <w:noBreakHyphen/>
        <w:t xml:space="preserve">DS_full_cut.tsv </w:t>
      </w:r>
      <w:r>
        <w:rPr/>
        <w:t xml:space="preserve">mit dem Skript </w:t>
      </w:r>
      <w:r>
        <w:rPr>
          <w:rStyle w:val="FilenameZchn"/>
        </w:rPr>
        <w:t xml:space="preserve">val_split_art.py </w:t>
      </w:r>
      <w:r>
        <w:rPr/>
        <w:t xml:space="preserve">in zehn gleichgroße Teil-Datensätze gesplittet. Davon werden im zweiten Schritt (3b) jeweils neun zum Trainingsdatensatz zusammengefügt und zusammen mit dem zehnten Teil-Datensatz (Testdatensatz) in insgesamt zehn Ordnern gespeichert. Das Skript </w:t>
      </w:r>
      <w:r>
        <w:rPr>
          <w:rStyle w:val="FilenameZchn"/>
        </w:rPr>
        <w:t>val_ds_create_art.py</w:t>
      </w:r>
      <w:r>
        <w:rPr/>
        <w:t xml:space="preserve"> erledigt diese Aufgabe. </w:t>
      </w:r>
    </w:p>
    <w:p>
      <w:pPr>
        <w:pStyle w:val="Normal"/>
        <w:rPr/>
      </w:pPr>
      <w:r>
        <w:rPr/>
      </w:r>
    </w:p>
    <w:p>
      <w:pPr>
        <w:pStyle w:val="Berschrift4"/>
        <w:rPr/>
      </w:pPr>
      <w:r>
        <w:rPr/>
        <w:t>Erstellen der Teil</w:t>
        <w:noBreakHyphen/>
        <w:t xml:space="preserve">Datensätze mit </w:t>
      </w:r>
      <w:r>
        <w:rPr>
          <w:rStyle w:val="FilenameZchn"/>
        </w:rPr>
        <w:t>val_split_art.py</w:t>
      </w:r>
    </w:p>
    <w:p>
      <w:pPr>
        <w:pStyle w:val="Normal"/>
        <w:rPr/>
      </w:pPr>
      <w:r>
        <w:rPr/>
        <w:t xml:space="preserve">Das benötigte Skript befindet sich in </w:t>
      </w:r>
      <w:r>
        <w:rPr>
          <w:rStyle w:val="FilenameZchn"/>
        </w:rPr>
        <w:t xml:space="preserve">DS_preparation/val </w:t>
      </w:r>
      <w:r>
        <w:rPr/>
        <w:t xml:space="preserve">und wird, nachdem der Name des zu splittenden Datensatzes in der letzten Zeile in die </w:t>
      </w:r>
      <w:r>
        <w:rPr>
          <w:rStyle w:val="FilenameZchn"/>
        </w:rPr>
        <w:t>main()-</w:t>
      </w:r>
      <w:r>
        <w:rPr/>
        <w:t>Funktion eingetragen wurde, mit folgendem Befehl aufgerufen:</w:t>
      </w:r>
    </w:p>
    <w:p>
      <w:pPr>
        <w:pStyle w:val="Termcommand"/>
        <w:rPr/>
      </w:pPr>
      <w:r>
        <w:rPr/>
        <w:t xml:space="preserve">$ cd DS_preparation/val   </w:t>
      </w:r>
    </w:p>
    <w:p>
      <w:pPr>
        <w:pStyle w:val="Termcommand"/>
        <w:rPr/>
      </w:pPr>
      <w:r>
        <w:rPr/>
        <w:t xml:space="preserve">$ python3 val_split_art.py    </w:t>
      </w:r>
    </w:p>
    <w:p>
      <w:pPr>
        <w:pStyle w:val="Normal"/>
        <w:rPr/>
      </w:pPr>
      <w:r>
        <w:rPr/>
      </w:r>
    </w:p>
    <w:p>
      <w:pPr>
        <w:pStyle w:val="Normal"/>
        <w:rPr/>
      </w:pPr>
      <w:r>
        <w:rPr/>
        <w:t>Anschließend frägt das Skript frägt den Benutzer, wie viele 10-fache Kreuzvalidierungesdatensätze benötigt werden und erstellt diese.</w:t>
      </w:r>
    </w:p>
    <w:p>
      <w:pPr>
        <w:pStyle w:val="Normal"/>
        <w:rPr/>
      </w:pPr>
      <w:r>
        <w:rPr/>
        <w:t xml:space="preserve">In </w:t>
      </w:r>
      <w:r>
        <w:rPr/>
        <w:fldChar w:fldCharType="begin"/>
      </w:r>
      <w:r>
        <w:rPr/>
        <w:instrText> REF _Ref66912565 \h </w:instrText>
      </w:r>
      <w:r>
        <w:rPr/>
        <w:fldChar w:fldCharType="separate"/>
      </w:r>
      <w:r>
        <w:rPr/>
        <w:t>Abbildung 14</w:t>
      </w:r>
      <w:r>
        <w:rPr/>
        <w:fldChar w:fldCharType="end"/>
      </w:r>
      <w:r>
        <w:rPr/>
        <w:t xml:space="preserve"> ist die main() Funktion des Skriptes dargestellt. Es lässt sich in drei funktionale Teile unterteilen: </w:t>
      </w:r>
    </w:p>
    <w:p>
      <w:pPr>
        <w:pStyle w:val="ListParagraph"/>
        <w:numPr>
          <w:ilvl w:val="0"/>
          <w:numId w:val="8"/>
        </w:numPr>
        <w:rPr/>
      </w:pPr>
      <w:r>
        <w:rPr>
          <w:b/>
          <w:bCs/>
        </w:rPr>
        <w:t xml:space="preserve">Einlesen des Datensatzes: </w:t>
      </w:r>
      <w:r>
        <w:rPr/>
        <w:t>Es</w:t>
      </w:r>
      <w:r>
        <w:rPr>
          <w:b/>
          <w:bCs/>
        </w:rPr>
        <w:t xml:space="preserve"> </w:t>
      </w:r>
      <w:r>
        <w:rPr/>
        <w:t xml:space="preserve">wird die Eingabedatei ausgelesen und in Listen gespeichert. Wichtig ist, dass die artikelspezifische ID (siehe </w:t>
      </w:r>
      <w:r>
        <w:rPr/>
        <w:fldChar w:fldCharType="begin"/>
      </w:r>
      <w:r>
        <w:rPr/>
        <w:instrText> REF _Ref66628449 \h </w:instrText>
      </w:r>
      <w:r>
        <w:rPr/>
        <w:fldChar w:fldCharType="separate"/>
      </w:r>
      <w:r>
        <w:rPr/>
        <w:t>Abbildung 11</w:t>
      </w:r>
      <w:r>
        <w:rPr/>
        <w:fldChar w:fldCharType="end"/>
      </w:r>
      <w:r>
        <w:rPr/>
        <w:t>) erhalten bleibt.</w:t>
      </w:r>
    </w:p>
    <w:p>
      <w:pPr>
        <w:pStyle w:val="ListParagraph"/>
        <w:numPr>
          <w:ilvl w:val="0"/>
          <w:numId w:val="8"/>
        </w:numPr>
        <w:rPr/>
      </w:pPr>
      <w:r>
        <w:rPr>
          <w:b/>
          <w:bCs/>
        </w:rPr>
        <w:t>Erstellen und Auswerten des Splittes:</w:t>
      </w:r>
      <w:r>
        <w:rPr/>
        <w:t xml:space="preserve"> In der Variable </w:t>
      </w:r>
      <w:r>
        <w:rPr>
          <w:rStyle w:val="FilenameZchn"/>
        </w:rPr>
        <w:t xml:space="preserve">random_zahlen_part </w:t>
      </w:r>
      <w:r>
        <w:rPr/>
        <w:t xml:space="preserve">wird eine Liste mit allen ganzen Zahlen bis zu der Länge der zu splittenden Interaktionen angelegt. Diese wird zufällig auf die zehn Teile aufgeteilt und jeder Zahl als Index einer Interaktion zugeordnet. Dabei wird über die artikelspezifische ID sichergestellt, dass Interaktionen aus dem gleichen Artikel in denselben Teil gelangen. Mit der Funktion </w:t>
      </w:r>
      <w:r>
        <w:rPr>
          <w:rStyle w:val="FilenameZchn"/>
        </w:rPr>
        <w:t>auswerten()</w:t>
      </w:r>
      <w:r>
        <w:rPr/>
        <w:t xml:space="preserve">wird der erzeugte Splitt hinsichtlich seiner Homogenität bewertet. Dafür werden die Standartabweichungen der unterschiedlichen Größen der Teildatensätze, sowie das Verhältnis von funktionalen </w:t>
      </w:r>
      <w:commentRangeStart w:id="14"/>
      <w:r>
        <w:rPr/>
        <w:t xml:space="preserve">Interaktionen zu nicht funktionalen Interaktionen, herangezogen. Schritt 2 wird sooft wiederholt, bis empirisch ermittelte Grenzwerte nicht überschritten werden und gespeichert werden kann. </w:t>
      </w:r>
      <w:commentRangeEnd w:id="14"/>
      <w:r>
        <w:commentReference w:id="14"/>
      </w:r>
      <w:r>
        <w:rPr/>
      </w:r>
    </w:p>
    <w:p>
      <w:pPr>
        <w:pStyle w:val="ListParagraph"/>
        <w:numPr>
          <w:ilvl w:val="0"/>
          <w:numId w:val="8"/>
        </w:numPr>
        <w:rPr>
          <w:b/>
          <w:b/>
          <w:bCs/>
        </w:rPr>
      </w:pPr>
      <w:r>
        <w:rPr>
          <w:b/>
          <w:bCs/>
        </w:rPr>
        <w:t xml:space="preserve">Speichern der Teil-Datensätze: </w:t>
      </w:r>
      <w:r>
        <w:rPr/>
        <w:t>Die zehn Teil-Datensätze werden gespeichert, zusätzlich wird für jeden Teil eine</w:t>
      </w:r>
      <w:r>
        <w:rPr>
          <w:b/>
          <w:bCs/>
        </w:rPr>
        <w:t xml:space="preserve"> </w:t>
      </w:r>
      <w:r>
        <w:rPr>
          <w:rStyle w:val="FilenameZchn"/>
        </w:rPr>
        <w:t>results.tsv</w:t>
      </w:r>
      <w:r>
        <w:rPr/>
        <w:t xml:space="preserve"> Datei erstellt, in welcher statistische Daten zu dem Teil-Datensatz angegeben sind.</w:t>
      </w:r>
      <w:r>
        <w:rPr>
          <w:b/>
          <w:bCs/>
        </w:rPr>
        <w:t xml:space="preserve">  </w:t>
      </w:r>
    </w:p>
    <w:p>
      <w:pPr>
        <w:pStyle w:val="Normal"/>
        <w:rPr/>
      </w:pPr>
      <w:r>
        <w:rPr/>
        <w:t xml:space="preserve"> </w:t>
      </w:r>
    </w:p>
    <w:p>
      <w:pPr>
        <w:pStyle w:val="Abbildung"/>
        <w:rPr/>
      </w:pPr>
      <w:bookmarkStart w:id="215" w:name="_MON_1677524381"/>
      <w:bookmarkEnd w:id="215"/>
      <w:r>
        <w:rPr/>
        <w:commentReference w:id="15"/>
      </w:r>
      <w:r>
        <w:rPr/>
        <w:object>
          <v:shape id="ole_rId21" style="width:452.75pt;height:330.05pt" o:ole="">
            <v:imagedata r:id="rId22" o:title=""/>
          </v:shape>
          <o:OLEObject Type="Embed" ProgID="Word.OpenDocumentText.12" ShapeID="ole_rId21" DrawAspect="Content" ObjectID="_1890677949" r:id="rId21"/>
        </w:object>
      </w:r>
    </w:p>
    <w:p>
      <w:pPr>
        <w:pStyle w:val="Caption"/>
        <w:jc w:val="both"/>
        <w:rPr/>
      </w:pPr>
      <w:bookmarkStart w:id="216" w:name="_Ref66912565"/>
      <w:r>
        <w:rPr>
          <w:b/>
          <w:bCs/>
        </w:rPr>
        <w:t xml:space="preserve">Abbildung </w:t>
      </w:r>
      <w:r>
        <w:rPr>
          <w:b/>
          <w:bCs/>
        </w:rPr>
        <w:fldChar w:fldCharType="begin"/>
      </w:r>
      <w:r>
        <w:rPr>
          <w:b/>
          <w:bCs/>
        </w:rPr>
        <w:instrText> SEQ Abbildung \* ARABIC </w:instrText>
      </w:r>
      <w:r>
        <w:rPr>
          <w:b/>
          <w:bCs/>
        </w:rPr>
        <w:fldChar w:fldCharType="separate"/>
      </w:r>
      <w:r>
        <w:rPr>
          <w:b/>
          <w:bCs/>
        </w:rPr>
        <w:t>14</w:t>
      </w:r>
      <w:r>
        <w:rPr>
          <w:b/>
          <w:bCs/>
        </w:rPr>
        <w:fldChar w:fldCharType="end"/>
      </w:r>
      <w:bookmarkEnd w:id="216"/>
      <w:r>
        <w:rPr>
          <w:b/>
          <w:bCs/>
        </w:rPr>
        <w:t>:</w:t>
      </w:r>
      <w:r>
        <w:rPr/>
        <w:t xml:space="preserve"> </w:t>
      </w:r>
      <w:r>
        <w:rPr>
          <w:rStyle w:val="FilenameZchn"/>
        </w:rPr>
        <w:t>main()</w:t>
      </w:r>
      <w:r>
        <w:rPr/>
        <w:t xml:space="preserve">Funktion aus dem Skript </w:t>
      </w:r>
      <w:r>
        <w:rPr>
          <w:rStyle w:val="FilenameZchn"/>
        </w:rPr>
        <w:t xml:space="preserve">val_split_art.py. </w:t>
      </w:r>
      <w:r>
        <w:rPr/>
        <w:t>Die Leerzeilen trennen die drei funktionalen Bereiche (Einlesen des Datensatzes, Erstellen und Auswerten des Splittes und das Speichern der Teil-Datensätze). Die vorletzte Zeile ist gekürzt dargestellt.</w:t>
      </w:r>
    </w:p>
    <w:p>
      <w:pPr>
        <w:pStyle w:val="Normal"/>
        <w:rPr/>
      </w:pPr>
      <w:r>
        <w:rPr/>
        <w:t xml:space="preserve"> </w:t>
      </w:r>
    </w:p>
    <w:p>
      <w:pPr>
        <w:pStyle w:val="Berschrift4"/>
        <w:rPr/>
      </w:pPr>
      <w:r>
        <w:rPr/>
        <w:t xml:space="preserve">Erstellen der fertigen Datensätze mit </w:t>
      </w:r>
      <w:r>
        <w:rPr>
          <w:rStyle w:val="FilenameZchn"/>
        </w:rPr>
        <w:t>val_ds_create_art.py</w:t>
      </w:r>
    </w:p>
    <w:p>
      <w:pPr>
        <w:pStyle w:val="Normal"/>
        <w:rPr/>
      </w:pPr>
      <w:r>
        <w:rPr/>
        <w:t xml:space="preserve">Um den Datensatz für BioBERT zu verwenden müssen die zehn Teil-Datensätze nach dem Prinzip der 10-fachen Kreuzvalidierung zusammengesetzt werden. Das erfolgt mit dem Ausführen des Skriptes </w:t>
      </w:r>
      <w:r>
        <w:rPr>
          <w:rStyle w:val="FilenameZchn"/>
        </w:rPr>
        <w:t>val_ds_create_art.py</w:t>
      </w:r>
      <w:r>
        <w:rPr/>
        <w:t>. Dafür wird der Name des Ordners mit dem Splitt als Kommandozeilenargument hinter das Skript gesetzt. Z.B.:</w:t>
      </w:r>
    </w:p>
    <w:p>
      <w:pPr>
        <w:pStyle w:val="Termcommand"/>
        <w:rPr/>
      </w:pPr>
      <w:r>
        <w:rPr/>
        <w:t>$ python3 val_ds_create_art.py 10_cross_fold_val1</w:t>
      </w:r>
    </w:p>
    <w:p>
      <w:pPr>
        <w:pStyle w:val="Normal"/>
        <w:rPr/>
      </w:pPr>
      <w:r>
        <w:rPr/>
      </w:r>
    </w:p>
    <w:p>
      <w:pPr>
        <w:pStyle w:val="Normal"/>
        <w:rPr/>
      </w:pPr>
      <w:r>
        <w:rPr/>
        <w:t xml:space="preserve">Der erzeugte Datensatz ist als neuer Ordner in dem oben angegebenen Ordner </w:t>
      </w:r>
      <w:r>
        <w:rPr>
          <w:rStyle w:val="FilenameZchn"/>
        </w:rPr>
        <w:t>10_cross_fold_val1</w:t>
      </w:r>
      <w:r>
        <w:rPr/>
        <w:t xml:space="preserve"> zu finden. </w:t>
      </w:r>
    </w:p>
    <w:p>
      <w:pPr>
        <w:pStyle w:val="Normal"/>
        <w:rPr/>
      </w:pPr>
      <w:r>
        <w:rPr/>
      </w:r>
    </w:p>
    <w:p>
      <w:pPr>
        <w:pStyle w:val="Berschrift3"/>
        <w:numPr>
          <w:ilvl w:val="2"/>
          <w:numId w:val="2"/>
        </w:numPr>
        <w:rPr/>
      </w:pPr>
      <w:bookmarkStart w:id="217" w:name="_Toc66981169"/>
      <w:r>
        <w:rPr/>
        <w:t>Durchführung der 10-fache Kreuzvalidierung</w:t>
      </w:r>
      <w:bookmarkEnd w:id="217"/>
      <w:r>
        <w:rPr/>
        <w:t xml:space="preserve"> </w:t>
      </w:r>
    </w:p>
    <w:p>
      <w:pPr>
        <w:pStyle w:val="Normal"/>
        <w:rPr/>
      </w:pPr>
      <w:r>
        <w:rPr/>
        <w:t xml:space="preserve">Um mit dem erzeugten Kreuzvalidierungsdatensatz das Modell zu trainieren und anschließend </w:t>
        <w:br/>
        <w:t xml:space="preserve">zu bewerten wird der fertige Datensatz (als ein  Ordner) in den Ordner </w:t>
      </w:r>
      <w:r>
        <w:rPr>
          <w:rStyle w:val="FilenameZchn"/>
        </w:rPr>
        <w:t>Biobert/tensorflow/ds/cross_val</w:t>
      </w:r>
      <w:r>
        <w:rPr/>
        <w:t xml:space="preserve"> verschoben.</w:t>
      </w:r>
    </w:p>
    <w:p>
      <w:pPr>
        <w:pStyle w:val="Normal"/>
        <w:rPr>
          <w:highlight w:val="yellow"/>
        </w:rPr>
      </w:pPr>
      <w:r>
        <w:rPr>
          <w:highlight w:val="yellow"/>
        </w:rPr>
      </w:r>
    </w:p>
    <w:p>
      <w:pPr>
        <w:pStyle w:val="Berschrift4"/>
        <w:rPr>
          <w:rStyle w:val="FilenameZchn"/>
        </w:rPr>
      </w:pPr>
      <w:r>
        <w:rPr/>
        <w:t xml:space="preserve">Starten der </w:t>
      </w:r>
      <w:r>
        <w:rPr>
          <w:color w:val="000000" w:themeColor="text1"/>
        </w:rPr>
        <w:t xml:space="preserve">Kreuzvalidierung mit </w:t>
      </w:r>
      <w:r>
        <w:rPr>
          <w:rStyle w:val="FilenameZchn"/>
        </w:rPr>
        <w:t>run_val.py</w:t>
      </w:r>
    </w:p>
    <w:p>
      <w:pPr>
        <w:pStyle w:val="Normal"/>
        <w:rPr/>
      </w:pPr>
      <w:r>
        <w:rPr>
          <w:color w:val="000000" w:themeColor="text1"/>
        </w:rPr>
        <w:t>Für die eigentliche Kreuzvalidierung wird das Skript</w:t>
      </w:r>
      <w:r>
        <w:rPr/>
        <w:t xml:space="preserve"> </w:t>
      </w:r>
      <w:r>
        <w:rPr>
          <w:rStyle w:val="FilenameZchn"/>
        </w:rPr>
        <w:t>run_val.py</w:t>
      </w:r>
      <w:r>
        <w:rPr/>
        <w:t xml:space="preserve"> </w:t>
      </w:r>
      <w:r>
        <w:rPr>
          <w:color w:val="000000" w:themeColor="text1"/>
        </w:rPr>
        <w:t xml:space="preserve">aus dem Ordner </w:t>
      </w:r>
      <w:r>
        <w:rPr>
          <w:rStyle w:val="FilenameZchn"/>
        </w:rPr>
        <w:t>Biobert/tensorflow/biobert_main</w:t>
      </w:r>
      <w:r>
        <w:rPr>
          <w:color w:val="000000" w:themeColor="text1"/>
        </w:rPr>
        <w:t xml:space="preserve"> benötigt. Vor dem Aufrufen des Skriptes muss in der </w:t>
      </w:r>
      <w:r>
        <w:rPr>
          <w:color w:val="000000" w:themeColor="text1"/>
          <w:highlight w:val="green"/>
        </w:rPr>
        <w:t>main()</w:t>
      </w:r>
      <w:r>
        <w:rPr>
          <w:color w:val="000000" w:themeColor="text1"/>
        </w:rPr>
        <w:t>-Funktion des Skriptes der Name des Ordners mit dem kompletten Validierungsdatensatz eingefügt werden. Dann wird die Kreuzvalidierung wie folgt gestartet:</w:t>
      </w:r>
    </w:p>
    <w:p>
      <w:pPr>
        <w:pStyle w:val="Termcommand"/>
        <w:rPr/>
      </w:pPr>
      <w:r>
        <w:rPr/>
        <w:t>$ cd Biobert/tensorflow/biobert_main</w:t>
      </w:r>
    </w:p>
    <w:p>
      <w:pPr>
        <w:pStyle w:val="Termcommand"/>
        <w:rPr/>
      </w:pPr>
      <w:r>
        <w:rPr/>
        <w:t>$ python3 run_val.py</w:t>
      </w:r>
    </w:p>
    <w:p>
      <w:pPr>
        <w:pStyle w:val="Normal"/>
        <w:rPr/>
      </w:pPr>
      <w:r>
        <w:rPr/>
      </w:r>
    </w:p>
    <w:p>
      <w:pPr>
        <w:pStyle w:val="Normal"/>
        <w:rPr/>
      </w:pPr>
      <w:r>
        <w:rPr/>
        <w:t xml:space="preserve">In </w:t>
      </w:r>
      <w:r>
        <w:rPr>
          <w:rStyle w:val="FilenameZchn"/>
        </w:rPr>
        <w:t xml:space="preserve">run_val.py </w:t>
      </w:r>
      <w:r>
        <w:rPr/>
        <w:t xml:space="preserve">werden mehrere Skripte der ursprünglichen BioBERT Publikation vereint. So ist es möglich die zehn Schritte der Kreuzvalidierung am Stück laufen zu lassen und dies mit einem Skript starten zu können. </w:t>
      </w:r>
      <w:r>
        <w:rPr>
          <w:rStyle w:val="FilenameZchn"/>
        </w:rPr>
        <w:t>run_val.py</w:t>
      </w:r>
      <w:r>
        <w:rPr/>
        <w:t xml:space="preserve"> setzt sich aus den folgenden Teilen zusammen:</w:t>
      </w:r>
    </w:p>
    <w:p>
      <w:pPr>
        <w:pStyle w:val="ListParagraph"/>
        <w:numPr>
          <w:ilvl w:val="0"/>
          <w:numId w:val="9"/>
        </w:numPr>
        <w:rPr>
          <w:b w:val="false"/>
          <w:b w:val="false"/>
          <w:bCs w:val="false"/>
        </w:rPr>
      </w:pPr>
      <w:r>
        <w:rPr>
          <w:b/>
          <w:bCs/>
        </w:rPr>
        <w:t>Vorverarbeitung</w:t>
      </w:r>
      <w:r>
        <w:rPr>
          <w:b w:val="false"/>
          <w:bCs w:val="false"/>
        </w:rPr>
        <w:t xml:space="preserve"> </w:t>
      </w:r>
      <w:r>
        <w:rPr>
          <w:b w:val="false"/>
          <w:bCs w:val="false"/>
          <w:i/>
          <w:iCs/>
        </w:rPr>
        <w:t>(engl. Preprocessing)</w:t>
      </w:r>
      <w:r>
        <w:rPr>
          <w:b/>
          <w:bCs/>
        </w:rPr>
        <w:t xml:space="preserve">: </w:t>
      </w:r>
      <w:r>
        <w:rPr>
          <w:b w:val="false"/>
          <w:bCs w:val="false"/>
        </w:rPr>
        <w:t xml:space="preserve">Hier wird ein Ausgabeordner mit dem Namen des Eingabeordners in </w:t>
      </w:r>
      <w:r>
        <w:rPr>
          <w:b w:val="false"/>
          <w:bCs w:val="false"/>
          <w:highlight w:val="darkCyan"/>
        </w:rPr>
        <w:t>Biobert/tensorflow/results/cross_val</w:t>
      </w:r>
      <w:r>
        <w:rPr>
          <w:b w:val="false"/>
          <w:bCs w:val="false"/>
        </w:rPr>
        <w:t xml:space="preserve"> angelegt. Zudem werden die einzelnen Datensätze in die für BioBERT notwendigen Namen t</w:t>
      </w:r>
      <w:r>
        <w:rPr>
          <w:b w:val="false"/>
          <w:bCs w:val="false"/>
          <w:highlight w:val="darkCyan"/>
        </w:rPr>
        <w:t>est.tsv</w:t>
      </w:r>
      <w:r>
        <w:rPr>
          <w:b w:val="false"/>
          <w:bCs w:val="false"/>
        </w:rPr>
        <w:t xml:space="preserve"> und </w:t>
      </w:r>
      <w:r>
        <w:rPr>
          <w:b w:val="false"/>
          <w:bCs w:val="false"/>
          <w:highlight w:val="darkCyan"/>
        </w:rPr>
        <w:t>train</w:t>
      </w:r>
      <w:r>
        <w:rPr>
          <w:b w:val="false"/>
          <w:bCs w:val="false"/>
        </w:rPr>
        <w:t xml:space="preserve">.tsv umbenannt, sowie die ebenfalls benötigte dev.tsv Datei eingefügt.   </w:t>
      </w:r>
    </w:p>
    <w:p>
      <w:pPr>
        <w:pStyle w:val="ListParagraph"/>
        <w:numPr>
          <w:ilvl w:val="0"/>
          <w:numId w:val="9"/>
        </w:numPr>
        <w:rPr>
          <w:b w:val="false"/>
          <w:b w:val="false"/>
          <w:bCs w:val="false"/>
        </w:rPr>
      </w:pPr>
      <w:r>
        <w:rPr>
          <w:b/>
          <w:bCs/>
        </w:rPr>
        <w:t>Feintuning:</w:t>
      </w:r>
      <w:r>
        <w:rPr>
          <w:b w:val="false"/>
          <w:bCs w:val="false"/>
        </w:rPr>
        <w:t xml:space="preserve"> Hier findet das eigentliche Feintuning von BioBERT, mit </w:t>
      </w:r>
      <w:r>
        <w:rPr>
          <w:b w:val="false"/>
          <w:bCs w:val="false"/>
          <w:highlight w:val="darkCyan"/>
        </w:rPr>
        <w:t>train.ts</w:t>
      </w:r>
      <w:r>
        <w:rPr>
          <w:b w:val="false"/>
          <w:bCs w:val="false"/>
        </w:rPr>
        <w:t xml:space="preserve">v als Trainingsdatensatz, statt. Die verwendete Lernrate beträgt 0.00002.       </w:t>
      </w:r>
    </w:p>
    <w:p>
      <w:pPr>
        <w:pStyle w:val="ListParagraph"/>
        <w:numPr>
          <w:ilvl w:val="0"/>
          <w:numId w:val="9"/>
        </w:numPr>
        <w:rPr/>
      </w:pPr>
      <w:r>
        <w:rPr>
          <w:b/>
          <w:bCs/>
        </w:rPr>
        <w:t>Bewertung:</w:t>
      </w:r>
      <w:r>
        <w:rPr/>
        <w:t xml:space="preserve"> Für die Bewertung des trainierten Modells wird betrachtet, wie gut das Modell die CPI-Paare  der t</w:t>
      </w:r>
      <w:r>
        <w:rPr>
          <w:highlight w:val="darkCyan"/>
        </w:rPr>
        <w:t>est.tsv</w:t>
      </w:r>
      <w:r>
        <w:rPr/>
        <w:t xml:space="preserve"> Datei klassifizieren kann. Dies geschieht unter Verwendung des Skriptes re_eval.py aus der BioBERT Publikation. Es wurde dahingehend verändert, dass die aus der Bewertung erhaltenen Parameter wie F-Maß oder Genauigkeit, in der </w:t>
      </w:r>
      <w:r>
        <w:rPr>
          <w:highlight w:val="darkCyan"/>
        </w:rPr>
        <w:t xml:space="preserve">scores.tsv </w:t>
      </w:r>
      <w:r>
        <w:rPr/>
        <w:t>datei im Ausgabeordner abgespeichert werden.</w:t>
      </w:r>
      <w:r>
        <w:rPr>
          <w:color w:val="000000"/>
        </w:rPr>
        <w:t xml:space="preserve"> </w:t>
      </w:r>
      <w:r>
        <w:rPr/>
        <w:t xml:space="preserve">Außerdem wird auch die benötigte Zeit für das Feintuning in dieser Datei gespeichert.        </w:t>
      </w:r>
    </w:p>
    <w:p>
      <w:pPr>
        <w:pStyle w:val="ListParagraph"/>
        <w:numPr>
          <w:ilvl w:val="0"/>
          <w:numId w:val="0"/>
        </w:numPr>
        <w:ind w:left="720" w:hanging="0"/>
        <w:rPr>
          <w:rStyle w:val="FilenameZchn"/>
          <w:color w:val="EF413D"/>
        </w:rPr>
      </w:pPr>
      <w:r>
        <w:rPr/>
      </w:r>
    </w:p>
    <w:p>
      <w:pPr>
        <w:pStyle w:val="Berschrift4"/>
        <w:rPr/>
      </w:pPr>
      <w:r>
        <w:rPr/>
        <w:t xml:space="preserve">Auswerten </w:t>
      </w:r>
      <w:r>
        <w:rPr>
          <w:color w:val="000000" w:themeColor="text1"/>
        </w:rPr>
        <w:t xml:space="preserve">Kreuzvalidierung mit </w:t>
      </w:r>
      <w:r>
        <w:rPr>
          <w:rStyle w:val="FilenameZchn"/>
          <w:color w:val="000000" w:themeColor="text1"/>
        </w:rPr>
        <w:t xml:space="preserve"> </w:t>
      </w:r>
      <w:r>
        <w:rPr>
          <w:rStyle w:val="FilenameZchn"/>
          <w:color w:val="000000" w:themeColor="text1"/>
          <w:highlight w:val="darkCyan"/>
        </w:rPr>
        <w:t>val_create_results.py</w:t>
      </w:r>
    </w:p>
    <w:p>
      <w:pPr>
        <w:pStyle w:val="Normal"/>
        <w:rPr/>
      </w:pPr>
      <w:r>
        <w:rPr/>
        <w:t xml:space="preserve">Mit dem Skript  </w:t>
      </w:r>
      <w:r>
        <w:rPr>
          <w:highlight w:val="darkCyan"/>
        </w:rPr>
        <w:t>val_create_results.py</w:t>
      </w:r>
      <w:r>
        <w:rPr/>
        <w:t xml:space="preserve"> werden alle Ergebnisse der zehn Teildatensätze in einer Datei mit dem Namen </w:t>
      </w:r>
      <w:r>
        <w:rPr>
          <w:highlight w:val="darkCyan"/>
        </w:rPr>
        <w:t xml:space="preserve">results.tsv  </w:t>
      </w:r>
      <w:r>
        <w:rPr/>
        <w:t>im Ausgabeordner  dargestellt und das Ergebnis der Kreuzvalidierung, durch Bildung des Mittelwertes über die zehn Teilergebnisse gebildet. Der Name des Ordners mit den Teilergebnissen wird als Kommandozeilenargument hinter den Skriptnamen gesetzt:</w:t>
      </w:r>
    </w:p>
    <w:p>
      <w:pPr>
        <w:pStyle w:val="Termcommand"/>
        <w:rPr/>
      </w:pPr>
      <w:r>
        <w:rPr/>
        <w:t>$ cd Biobert/tensorflow/results/cross_val</w:t>
      </w:r>
    </w:p>
    <w:p>
      <w:pPr>
        <w:pStyle w:val="Termcommand"/>
        <w:rPr/>
      </w:pPr>
      <w:r>
        <w:rPr/>
        <w:t xml:space="preserve">$ python3 </w:t>
      </w:r>
      <w:r>
        <w:rPr>
          <w:rStyle w:val="FilenameZchn"/>
          <w:color w:val="000000" w:themeColor="text1"/>
        </w:rPr>
        <w:t>val_create_results.py 10_cross_fold_val1</w:t>
      </w:r>
      <w:r>
        <w:rPr>
          <w:rStyle w:val="FilenameZchn"/>
          <w:color w:val="000000" w:themeColor="text1"/>
          <w:highlight w:val="darkCyan"/>
        </w:rPr>
        <w:t xml:space="preserve"> </w:t>
      </w:r>
    </w:p>
    <w:p>
      <w:pPr>
        <w:pStyle w:val="Normal"/>
        <w:rPr/>
      </w:pPr>
      <w:r>
        <w:rPr/>
        <w:t xml:space="preserve">    </w:t>
      </w:r>
    </w:p>
    <w:p>
      <w:pPr>
        <w:pStyle w:val="Normal"/>
        <w:rPr>
          <w:highlight w:val="yellow"/>
        </w:rPr>
      </w:pPr>
      <w:r>
        <w:rPr>
          <w:highlight w:val="yellow"/>
        </w:rPr>
      </w:r>
    </w:p>
    <w:p>
      <w:pPr>
        <w:pStyle w:val="Normal"/>
        <w:rPr/>
      </w:pPr>
      <w:r>
        <w:rPr/>
      </w:r>
    </w:p>
    <w:p>
      <w:pPr>
        <w:pStyle w:val="Berschrift2"/>
        <w:numPr>
          <w:ilvl w:val="1"/>
          <w:numId w:val="2"/>
        </w:numPr>
        <w:rPr/>
      </w:pPr>
      <w:bookmarkStart w:id="218" w:name="_Toc66981170"/>
      <w:bookmarkStart w:id="219" w:name="_Ref66745693"/>
      <w:r>
        <w:rPr/>
        <w:t>Untersuchung des Einflusses der Trainingsdatensatzgröße</w:t>
      </w:r>
      <w:bookmarkEnd w:id="218"/>
      <w:bookmarkEnd w:id="219"/>
    </w:p>
    <w:p>
      <w:pPr>
        <w:pStyle w:val="Normal"/>
        <w:rPr/>
      </w:pPr>
      <w:r>
        <w:rPr/>
        <w:t xml:space="preserve">Um zu untersuchen, wie sich die Leistung des Modells bei einem größerem, bzw kleineren Verhältnis von Trainingsdatendatz zu Testdatensdatz verhält, kann nicht mit den in 3.3 verwendeten Skripten gearbeitet werden. Der Einsatz der benötigten Skripte ist im Folgenden beschrieben: </w:t>
      </w:r>
    </w:p>
    <w:p>
      <w:pPr>
        <w:pStyle w:val="Berschrift3"/>
        <w:numPr>
          <w:ilvl w:val="2"/>
          <w:numId w:val="2"/>
        </w:numPr>
        <w:rPr/>
      </w:pPr>
      <w:r>
        <w:rPr/>
        <w:t>S</w:t>
      </w:r>
      <w:bookmarkStart w:id="220" w:name="_Toc66981171"/>
      <w:bookmarkStart w:id="221" w:name="_Ref66662211"/>
      <w:r>
        <w:rPr/>
        <w:t>plitten des DS</w:t>
      </w:r>
      <w:bookmarkEnd w:id="220"/>
      <w:bookmarkEnd w:id="221"/>
      <w:r>
        <w:rPr/>
        <w:t xml:space="preserve"> </w:t>
      </w:r>
    </w:p>
    <w:p>
      <w:pPr>
        <w:pStyle w:val="Normal"/>
        <w:rPr/>
      </w:pPr>
      <w:r>
        <w:rPr/>
        <w:t xml:space="preserve">Der Ausgangsdatensatz </w:t>
      </w:r>
      <w:r>
        <w:rPr>
          <w:rStyle w:val="FilenameZchn"/>
        </w:rPr>
        <w:t>CPI</w:t>
        <w:noBreakHyphen/>
        <w:t xml:space="preserve">DS_full_cut.tsv </w:t>
      </w:r>
      <w:r>
        <w:rPr>
          <w:rStyle w:val="FilenameZchn"/>
          <w:rFonts w:ascii="Times new roman" w:hAnsi="Times new roman"/>
        </w:rPr>
        <w:t xml:space="preserve">(siehe 3.2)  </w:t>
      </w:r>
      <w:r>
        <w:rPr>
          <w:rStyle w:val="FilenameZchn"/>
          <w:rFonts w:ascii="Times new roman" w:hAnsi="Times new roman"/>
        </w:rPr>
        <w:t xml:space="preserve">wird mit dem </w:t>
      </w:r>
      <w:r>
        <w:rPr>
          <w:rStyle w:val="FilenameZchn"/>
          <w:rFonts w:ascii="Times new roman" w:hAnsi="Times new roman"/>
        </w:rPr>
        <w:t xml:space="preserve"> </w:t>
      </w:r>
      <w:r>
        <w:rPr>
          <w:rStyle w:val="FilenameZchn"/>
          <w:rFonts w:ascii="Times new roman" w:hAnsi="Times new roman"/>
        </w:rPr>
        <w:t xml:space="preserve">Skript </w:t>
      </w:r>
      <w:r>
        <w:rPr>
          <w:rStyle w:val="FilenameZchn"/>
          <w:rFonts w:ascii="Times new roman" w:hAnsi="Times new roman" w:cstheme="minorBidi"/>
          <w:highlight w:val="darkCyan"/>
        </w:rPr>
        <w:t>split_tsv_art.py</w:t>
      </w:r>
      <w:r>
        <w:rPr>
          <w:rStyle w:val="FilenameZchn"/>
          <w:rFonts w:ascii="Times new roman" w:hAnsi="Times new roman"/>
        </w:rPr>
        <w:t xml:space="preserve"> aus dem Ordner  </w:t>
      </w:r>
      <w:r>
        <w:rPr>
          <w:rStyle w:val="FilenameZchn"/>
          <w:rFonts w:ascii="Times new roman" w:hAnsi="Times new roman" w:cstheme="minorBidi"/>
          <w:highlight w:val="darkCyan"/>
        </w:rPr>
        <w:t xml:space="preserve">DS_preparation/size_splitt  </w:t>
      </w:r>
      <w:r>
        <w:rPr>
          <w:rStyle w:val="FilenameZchn"/>
          <w:rFonts w:ascii="Times new roman" w:hAnsi="Times new roman" w:cstheme="minorBidi"/>
        </w:rPr>
        <w:t xml:space="preserve">in verschieden große Trainings- und Testdatensätze gesplittet. Das Splitten erfolgt, wie bei der Kreuzvalidierung, artikelbasiert.  </w:t>
      </w:r>
    </w:p>
    <w:p>
      <w:pPr>
        <w:pStyle w:val="Termcommand"/>
        <w:rPr/>
      </w:pPr>
      <w:r>
        <w:rPr/>
        <w:t>$ cd DS_preparation/size_splitt</w:t>
      </w:r>
    </w:p>
    <w:p>
      <w:pPr>
        <w:pStyle w:val="Termcommand"/>
        <w:rPr/>
      </w:pPr>
      <w:r>
        <w:rPr>
          <w:rStyle w:val="FilenameZchn"/>
          <w:rFonts w:ascii="Consolas" w:hAnsi="Consolas" w:cstheme="minorBidi"/>
        </w:rPr>
        <w:t xml:space="preserve">$ python3 split_tsv_art.py </w:t>
      </w:r>
      <w:r>
        <w:rPr>
          <w:rStyle w:val="FilenameZchn"/>
          <w:rFonts w:ascii="Consolas" w:hAnsi="Consolas"/>
          <w:color w:val="000000" w:themeColor="text1"/>
        </w:rPr>
        <w:t xml:space="preserve"> </w:t>
      </w:r>
    </w:p>
    <w:p>
      <w:pPr>
        <w:pStyle w:val="Termcommand"/>
        <w:rPr>
          <w:rStyle w:val="FilenameZchn"/>
          <w:rFonts w:ascii="Consolas" w:hAnsi="Consolas"/>
        </w:rPr>
      </w:pPr>
      <w:r>
        <w:rPr/>
      </w:r>
    </w:p>
    <w:p>
      <w:pPr>
        <w:pStyle w:val="Normal"/>
        <w:rPr/>
      </w:pPr>
      <w:r>
        <w:rPr>
          <w:rStyle w:val="FilenameZchn"/>
          <w:rFonts w:ascii="Times new roman" w:hAnsi="Times new roman" w:cstheme="minorBidi"/>
        </w:rPr>
        <w:t xml:space="preserve">Der Anwender muss bestätigen, dass index Spalten benötigt werden und kann selbst durch Eingabe in das Terminal den benötigten Anteil des Testdatensatzes am Ausgangsdatensatz, sowie die gesamte Anzahl an, mit diesem Splitt erzeugten Datensätze, festlegen.  </w:t>
      </w:r>
      <w:r>
        <w:rPr>
          <w:rStyle w:val="FilenameZchn"/>
          <w:rFonts w:ascii="Consolas" w:hAnsi="Consolas" w:cstheme="minorBidi"/>
          <w:highlight w:val="darkCyan"/>
        </w:rPr>
        <w:t xml:space="preserve">split_tsv_art.py </w:t>
      </w:r>
      <w:r>
        <w:rPr>
          <w:rStyle w:val="FilenameZchn"/>
          <w:rFonts w:ascii="Consolas" w:hAnsi="Consolas" w:cstheme="minorBidi"/>
        </w:rPr>
        <w:t>ähnelt in</w:t>
      </w:r>
      <w:r>
        <w:rPr>
          <w:rStyle w:val="FilenameZchn"/>
          <w:rFonts w:ascii="Times new roman" w:hAnsi="Times new roman" w:cstheme="minorBidi"/>
        </w:rPr>
        <w:t xml:space="preserve"> der Funktionsweise und dem Aufbau dem Skript zum Splitten des Datensatzes für die Validierung (siehe ). Ebenfalls wird eine auswerten() Funktion zum Einsatz, um die Homogenität zwischen dem erzeugten Test und Traingsdatensatz zu bewerten. Aufgrund des artikelbasierten Splittens kann es z.B. sein, dass alle Artikel mit vielen beschriebenen Interaktionen im Testdatensatz landen und dadurch das Verhältnis von Anzahl der Interaktionen in Test- und Trainingsdatensatz deutlich von dem gewünschten Splitt Verhältnis der Artikel abweicht. Ebenso kann es sein, dass durch das Splitten ein Ungleichgewicht in der Verteilung von funktionalen und nicht funktional gelabelten Interaktionen entsteht. Um das zu verhindern </w:t>
      </w:r>
      <w:r>
        <w:rPr>
          <w:rStyle w:val="FilenameZchn"/>
          <w:rFonts w:ascii="Times new roman" w:hAnsi="Times new roman" w:cstheme="minorBidi"/>
        </w:rPr>
        <w:t xml:space="preserve">werden solange neue </w:t>
      </w:r>
      <w:r>
        <w:rPr>
          <w:rStyle w:val="FilenameZchn"/>
          <w:rFonts w:ascii="Times new roman" w:hAnsi="Times new roman" w:cstheme="minorBidi"/>
        </w:rPr>
        <w:t xml:space="preserve">Splitt </w:t>
      </w:r>
      <w:r>
        <w:rPr>
          <w:rStyle w:val="FilenameZchn"/>
          <w:rFonts w:ascii="Times new roman" w:hAnsi="Times new roman" w:cstheme="minorBidi"/>
        </w:rPr>
        <w:t xml:space="preserve">erzeugt, bis die bestimmten verhältniss um weniger als </w:t>
      </w:r>
      <w:r>
        <w:rPr>
          <w:rStyle w:val="FilenameZchn"/>
          <w:rFonts w:ascii="Times new roman" w:hAnsi="Times new roman" w:cstheme="minorBidi"/>
        </w:rPr>
        <w:t xml:space="preserve">1 % von dem </w:t>
      </w:r>
      <w:r>
        <w:rPr>
          <w:rStyle w:val="FilenameZchn"/>
          <w:rFonts w:ascii="Times new roman" w:hAnsi="Times new roman" w:cstheme="minorBidi"/>
        </w:rPr>
        <w:t>Wert (manuelle Eingabe</w:t>
      </w:r>
      <w:r>
        <w:rPr>
          <w:rStyle w:val="FilenameZchn"/>
          <w:rFonts w:ascii="Times new roman" w:hAnsi="Times new roman" w:cstheme="minorBidi"/>
          <w:sz w:val="26"/>
          <w:szCs w:val="22"/>
        </w:rPr>
        <w:t xml:space="preserve"> </w:t>
      </w:r>
      <w:r>
        <w:rPr>
          <w:rStyle w:val="FilenameZchn"/>
          <w:rFonts w:ascii="Times new roman" w:hAnsi="Times new roman" w:cstheme="minorBidi"/>
          <w:sz w:val="22"/>
          <w:szCs w:val="22"/>
        </w:rPr>
        <w:t xml:space="preserve">in das terminal) abweichen. Die Ergebnisse dieser Bewertung werden für alle erfolgreichen Spülitts in einer Datei mit dem Namen </w:t>
      </w:r>
      <w:r>
        <w:rPr>
          <w:rStyle w:val="FilenameZchn"/>
          <w:rFonts w:ascii="Times new roman" w:hAnsi="Times new roman" w:cstheme="minorBidi"/>
          <w:sz w:val="22"/>
          <w:szCs w:val="22"/>
          <w:highlight w:val="darkBlue"/>
        </w:rPr>
        <w:t>DS_results.tsv</w:t>
      </w:r>
      <w:r>
        <w:rPr>
          <w:rStyle w:val="FilenameZchn"/>
          <w:rFonts w:ascii="Times new roman" w:hAnsi="Times new roman" w:cstheme="minorBidi"/>
          <w:sz w:val="22"/>
          <w:szCs w:val="22"/>
        </w:rPr>
        <w:t xml:space="preserve"> gespeichert.   </w:t>
      </w:r>
    </w:p>
    <w:p>
      <w:pPr>
        <w:pStyle w:val="Normal"/>
        <w:rPr>
          <w:rStyle w:val="FilenameZchn"/>
          <w:rFonts w:ascii="Times new roman" w:hAnsi="Times new roman" w:cstheme="minorBidi"/>
          <w:sz w:val="22"/>
          <w:szCs w:val="22"/>
        </w:rPr>
      </w:pPr>
      <w:r>
        <w:rPr/>
      </w:r>
    </w:p>
    <w:p>
      <w:pPr>
        <w:pStyle w:val="Normal"/>
        <w:rPr/>
      </w:pPr>
      <w:r>
        <w:rPr>
          <w:rStyle w:val="FilenameZchn"/>
          <w:rFonts w:ascii="times  New roman" w:hAnsi="times  New roman" w:cstheme="minorBidi"/>
          <w:sz w:val="22"/>
          <w:szCs w:val="22"/>
        </w:rPr>
        <w:t>Tabelle für Bewertung des Datensatzes.</w:t>
      </w:r>
    </w:p>
    <w:p>
      <w:pPr>
        <w:pStyle w:val="Normal"/>
        <w:rPr/>
      </w:pPr>
      <w:r>
        <w:rPr>
          <w:rStyle w:val="FilenameZchn"/>
          <w:rFonts w:ascii="Times new roman" w:hAnsi="Times new roman" w:cstheme="minorBidi"/>
        </w:rPr>
        <w:t>Tabelle einfügen mit was wir brauchen (anzahl . Tsize trainsize)</w:t>
      </w:r>
    </w:p>
    <w:p>
      <w:pPr>
        <w:pStyle w:val="Normal"/>
        <w:rPr/>
      </w:pPr>
      <w:r>
        <w:rPr>
          <w:rStyle w:val="FilenameZchn"/>
          <w:rFonts w:ascii="Times new roman" w:hAnsi="Times new roman"/>
          <w:color w:val="CE181E"/>
        </w:rPr>
        <w:t>splitts 0.</w:t>
      </w:r>
    </w:p>
    <w:p>
      <w:pPr>
        <w:pStyle w:val="Normal"/>
        <w:rPr>
          <w:rStyle w:val="FilenameZchn"/>
          <w:rFonts w:ascii="Times new roman" w:hAnsi="Times new roman"/>
          <w:color w:val="CE181E"/>
        </w:rPr>
      </w:pPr>
      <w:r>
        <w:rPr/>
      </w:r>
    </w:p>
    <w:p>
      <w:pPr>
        <w:pStyle w:val="Normal"/>
        <w:rPr/>
      </w:pPr>
      <w:r>
        <w:rPr>
          <w:rStyle w:val="FilenameZchn"/>
          <w:rFonts w:ascii="Times new roman" w:hAnsi="Times new roman"/>
          <w:color w:val="CE181E"/>
        </w:rPr>
        <w:t>Wichtig ordner für val split in val_splitt umnennen</w:t>
      </w:r>
    </w:p>
    <w:p>
      <w:pPr>
        <w:pStyle w:val="Berschrift3"/>
        <w:numPr>
          <w:ilvl w:val="2"/>
          <w:numId w:val="2"/>
        </w:numPr>
        <w:rPr/>
      </w:pPr>
      <w:bookmarkStart w:id="222" w:name="_Toc66981172"/>
      <w:r>
        <w:rPr/>
        <w:t>Durchführung</w:t>
      </w:r>
      <w:bookmarkEnd w:id="222"/>
    </w:p>
    <w:p>
      <w:pPr>
        <w:pStyle w:val="Normal"/>
        <w:rPr/>
      </w:pPr>
      <w:r>
        <w:rPr/>
      </w:r>
    </w:p>
    <w:p>
      <w:pPr>
        <w:pStyle w:val="Normal"/>
        <w:rPr/>
      </w:pPr>
      <w:r>
        <w:rPr/>
      </w:r>
    </w:p>
    <w:p>
      <w:pPr>
        <w:pStyle w:val="Berschrift1"/>
        <w:numPr>
          <w:ilvl w:val="0"/>
          <w:numId w:val="2"/>
        </w:numPr>
        <w:rPr/>
      </w:pPr>
      <w:bookmarkStart w:id="223" w:name="_Toc66477609"/>
      <w:bookmarkStart w:id="224" w:name="_Toc66981173"/>
      <w:r>
        <w:rPr/>
        <w:t>Ergebnisse</w:t>
      </w:r>
      <w:bookmarkEnd w:id="223"/>
      <w:bookmarkEnd w:id="224"/>
    </w:p>
    <w:p>
      <w:pPr>
        <w:pStyle w:val="ListParagraph"/>
        <w:numPr>
          <w:ilvl w:val="0"/>
          <w:numId w:val="3"/>
        </w:numPr>
        <w:rPr/>
      </w:pPr>
      <w:r>
        <w:rPr/>
        <w:t>Gleicher split wie in fr paper zum dir vergleich</w:t>
      </w:r>
    </w:p>
    <w:p>
      <w:pPr>
        <w:pStyle w:val="ListParagraph"/>
        <w:numPr>
          <w:ilvl w:val="0"/>
          <w:numId w:val="3"/>
        </w:numPr>
        <w:rPr/>
      </w:pPr>
      <w:r>
        <w:rPr/>
        <w:t xml:space="preserve">Validation zum Sagen das Hyperparameter okay waren aber auch zum </w:t>
      </w:r>
      <w:commentRangeStart w:id="16"/>
      <w:r>
        <w:rPr/>
        <w:t xml:space="preserve">vergleich nutzen </w:t>
      </w:r>
      <w:commentRangeEnd w:id="16"/>
      <w:r>
        <w:commentReference w:id="16"/>
      </w:r>
      <w:r>
        <w:rPr/>
      </w:r>
    </w:p>
    <w:p>
      <w:pPr>
        <w:pStyle w:val="ListParagraph"/>
        <w:numPr>
          <w:ilvl w:val="0"/>
          <w:numId w:val="3"/>
        </w:numPr>
        <w:rPr/>
      </w:pPr>
      <w:r>
        <w:rPr/>
        <w:t xml:space="preserve">Veränderung der DS größe um </w:t>
      </w:r>
    </w:p>
    <w:p>
      <w:pPr>
        <w:pStyle w:val="Berschrift1"/>
        <w:numPr>
          <w:ilvl w:val="0"/>
          <w:numId w:val="2"/>
        </w:numPr>
        <w:rPr/>
      </w:pPr>
      <w:bookmarkStart w:id="225" w:name="_Toc66981174"/>
      <w:bookmarkStart w:id="226" w:name="_Toc66477610"/>
      <w:r>
        <w:rPr/>
        <w:t>Diskussion und Ausblick</w:t>
      </w:r>
      <w:bookmarkEnd w:id="225"/>
      <w:bookmarkEnd w:id="226"/>
    </w:p>
    <w:p>
      <w:pPr>
        <w:pStyle w:val="Normal"/>
        <w:rPr/>
      </w:pPr>
      <w:r>
        <w:rPr/>
        <w:t>https://www.statistik.tu-dortmund.de/fileadmin/user_upload/Lehrstuehle/Datenanalyse/Wissensentdeckung/Wissensentdeckung-Li-7.pdf</w:t>
      </w:r>
    </w:p>
    <w:p>
      <w:pPr>
        <w:pStyle w:val="Normal"/>
        <w:rPr/>
      </w:pPr>
      <w:r>
        <w:rPr/>
        <w:t>bewerten wie homogen die datensätze sind über:</w:t>
      </w:r>
    </w:p>
    <w:p>
      <w:pPr>
        <w:pStyle w:val="Normal"/>
        <w:rPr/>
      </w:pPr>
      <w:r>
        <w:rPr/>
        <w:t xml:space="preserve">    </w:t>
      </w:r>
      <w:r>
        <w:rPr/>
        <w:t>-standart abw von int  als gutes maß um zu bewerten dass DS homogen ist ?</w:t>
      </w:r>
    </w:p>
    <w:p>
      <w:pPr>
        <w:pStyle w:val="Normal"/>
        <w:rPr/>
      </w:pPr>
      <w:r>
        <w:rPr/>
        <w:t xml:space="preserve">    </w:t>
      </w:r>
      <w:r>
        <w:rPr/>
        <w:t>-noch mit verhältnis von verhältnis von 1/0 aus test und train oder bei val nur ds ?</w:t>
      </w:r>
    </w:p>
    <w:p>
      <w:pPr>
        <w:pStyle w:val="Normal"/>
        <w:rPr/>
      </w:pPr>
      <w:r>
        <w:rPr/>
      </w:r>
    </w:p>
    <w:p>
      <w:pPr>
        <w:pStyle w:val="Normal"/>
        <w:rPr/>
      </w:pPr>
      <w:r>
        <w:rPr/>
      </w:r>
    </w:p>
    <w:p>
      <w:pPr>
        <w:pStyle w:val="Normal"/>
        <w:rPr/>
      </w:pPr>
      <w:r>
        <w:rPr/>
        <w:t>- bewerten des Modell über precision, da FN keine rolle spielen (nicht wichtig wie viele nicht gefunden wurden hauptsaxhe keine falsch) ?</w:t>
      </w:r>
    </w:p>
    <w:p>
      <w:pPr>
        <w:pStyle w:val="Normal"/>
        <w:rPr/>
      </w:pPr>
      <w:r>
        <w:rPr/>
        <w:t>- oder lieber mit f1 ?</w:t>
      </w:r>
    </w:p>
    <w:p>
      <w:pPr>
        <w:pStyle w:val="Normal"/>
        <w:rPr/>
      </w:pPr>
      <w:r>
        <w:rPr/>
      </w:r>
    </w:p>
    <w:p>
      <w:pPr>
        <w:pStyle w:val="Normal"/>
        <w:rPr/>
      </w:pPr>
      <w:r>
        <w:rPr/>
        <w:t>was sind denn überhaupt die anforderungen die du an das modell hast?</w:t>
      </w:r>
    </w:p>
    <w:p>
      <w:pPr>
        <w:pStyle w:val="Normal"/>
        <w:rPr/>
      </w:pPr>
      <w:r>
        <w:rPr/>
      </w:r>
    </w:p>
    <w:p>
      <w:pPr>
        <w:pStyle w:val="Normal"/>
        <w:rPr/>
      </w:pPr>
      <w:r>
        <w:rPr/>
        <w:t>cv machen mit random nene</w:t>
      </w:r>
    </w:p>
    <w:p>
      <w:pPr>
        <w:pStyle w:val="Normal"/>
        <w:rPr/>
      </w:pPr>
      <w:r>
        <w:rPr/>
      </w:r>
    </w:p>
    <w:p>
      <w:pPr>
        <w:pStyle w:val="Normal"/>
        <w:rPr/>
      </w:pPr>
      <w:r>
        <w:rPr/>
        <w:t>randwom artikel genommen</w:t>
      </w:r>
    </w:p>
    <w:p>
      <w:pPr>
        <w:pStyle w:val="Normal"/>
        <w:rPr/>
      </w:pPr>
      <w:r>
        <w:rPr/>
        <w:t>this ratio enspricht auch der reality</w:t>
      </w:r>
    </w:p>
    <w:p>
      <w:pPr>
        <w:pStyle w:val="Normal"/>
        <w:rPr/>
      </w:pPr>
      <w:r>
        <w:rPr/>
      </w:r>
    </w:p>
    <w:p>
      <w:pPr>
        <w:pStyle w:val="Normal"/>
        <w:rPr/>
      </w:pPr>
      <w:r>
        <w:rPr/>
        <w:t>comparison in ru time ==&gt; auch machen von</w:t>
      </w:r>
    </w:p>
    <w:p>
      <w:pPr>
        <w:pStyle w:val="Normal"/>
        <w:rPr/>
      </w:pPr>
      <w:r>
        <w:rPr/>
      </w:r>
    </w:p>
    <w:p>
      <w:pPr>
        <w:pStyle w:val="Normal"/>
        <w:rPr/>
      </w:pPr>
      <w:r>
        <w:rPr/>
        <w:t>ziel am ende alle benutzen</w:t>
      </w:r>
    </w:p>
    <w:p>
      <w:pPr>
        <w:pStyle w:val="Normal"/>
        <w:rPr/>
      </w:pPr>
      <w:r>
        <w:rPr/>
      </w:r>
    </w:p>
    <w:p>
      <w:pPr>
        <w:pStyle w:val="Normal"/>
        <w:rPr/>
      </w:pPr>
      <w:r>
        <w:rPr/>
        <w:t>biocreativ</w:t>
      </w:r>
    </w:p>
    <w:p>
      <w:pPr>
        <w:pStyle w:val="Normal"/>
        <w:rPr/>
      </w:pPr>
      <w:r>
        <w:rPr/>
      </w:r>
    </w:p>
    <w:p>
      <w:pPr>
        <w:pStyle w:val="Normal"/>
        <w:rPr/>
      </w:pPr>
      <w:r>
        <w:rPr/>
        <w:t>gpu experiment als output und weitere möglichkeit</w:t>
      </w:r>
    </w:p>
    <w:p>
      <w:pPr>
        <w:pStyle w:val="Normal"/>
        <w:rPr/>
      </w:pPr>
      <w:r>
        <w:rPr/>
      </w:r>
    </w:p>
    <w:p>
      <w:pPr>
        <w:pStyle w:val="Normal"/>
        <w:rPr/>
      </w:pPr>
      <w:r>
        <w:rPr/>
        <w:t>output from biobert verstehen für später wichtig</w:t>
      </w:r>
    </w:p>
    <w:p>
      <w:pPr>
        <w:pStyle w:val="Normal"/>
        <w:rPr/>
      </w:pPr>
      <w:r>
        <w:rPr/>
      </w:r>
    </w:p>
    <w:p>
      <w:pPr>
        <w:pStyle w:val="Normal"/>
        <w:rPr/>
      </w:pPr>
      <w:r>
        <w:rPr/>
        <w:t>https://www.merkleinc.com/blog/dispelling-myths-deep-learning-vs-machine-learning</w:t>
      </w:r>
    </w:p>
    <w:p>
      <w:pPr>
        <w:pStyle w:val="Normal"/>
        <w:rPr/>
      </w:pPr>
      <w:r>
        <w:rPr/>
        <w:t>dataset kann noch erhöt werden mit semi manuell</w:t>
      </w:r>
    </w:p>
    <w:p>
      <w:pPr>
        <w:pStyle w:val="Normal"/>
        <w:rPr/>
      </w:pPr>
      <w:r>
        <w:rPr/>
      </w:r>
    </w:p>
    <w:p>
      <w:pPr>
        <w:pStyle w:val="Normal"/>
        <w:rPr/>
      </w:pPr>
      <w:r>
        <w:rPr/>
        <w:t>am ende alle 3 ziel</w:t>
      </w:r>
    </w:p>
    <w:p>
      <w:pPr>
        <w:pStyle w:val="Normal"/>
        <w:rPr/>
      </w:pPr>
      <w:r>
        <w:rPr/>
      </w:r>
    </w:p>
    <w:p>
      <w:pPr>
        <w:pStyle w:val="Normal"/>
        <w:rPr/>
      </w:pPr>
      <w:r>
        <w:rPr/>
        <w:t>outlook biobert auf alle artikel machen</w:t>
      </w:r>
    </w:p>
    <w:p>
      <w:pPr>
        <w:pStyle w:val="Normal"/>
        <w:rPr/>
      </w:pPr>
      <w:r>
        <w:rPr/>
        <w:t xml:space="preserve">Overfitting underfitting? </w:t>
      </w:r>
    </w:p>
    <w:p>
      <w:pPr>
        <w:pStyle w:val="Normal"/>
        <w:rPr/>
      </w:pPr>
      <w:r>
        <w:rPr/>
        <w:t xml:space="preserve">Ml paper generell fig 1b performance kernek´l methiden schlechter als dl </w:t>
      </w:r>
    </w:p>
    <w:p>
      <w:pPr>
        <w:pStyle w:val="Normal"/>
        <w:rPr>
          <w:rStyle w:val="Internetverknpfung"/>
        </w:rPr>
      </w:pPr>
      <w:hyperlink r:id="rId23">
        <w:r>
          <w:rPr>
            <w:rStyle w:val="Internetverknpfung"/>
          </w:rPr>
          <w:t>einleitung\einleitung_paper\ML_paper_generell.pdf</w:t>
        </w:r>
      </w:hyperlink>
    </w:p>
    <w:p>
      <w:pPr>
        <w:pStyle w:val="Normal"/>
        <w:rPr/>
      </w:pPr>
      <w:r>
        <w:rPr/>
        <w:t xml:space="preserve">hyperparamter optimierung noch was rausholen </w:t>
      </w:r>
    </w:p>
    <w:p>
      <w:pPr>
        <w:pStyle w:val="Normal"/>
        <w:rPr/>
      </w:pPr>
      <w:r>
        <w:rPr/>
        <w:t>pytoech vs tensorflow (sollte eig nix machen aber vlt überprüfen)</w:t>
      </w:r>
    </w:p>
    <w:p>
      <w:pPr>
        <w:pStyle w:val="Normal"/>
        <w:rPr/>
      </w:pPr>
      <w:r>
        <w:rPr/>
        <w:t xml:space="preserve">ML andere vs dl </w:t>
      </w:r>
      <w:hyperlink r:id="rId24">
        <w:r>
          <w:rPr>
            <w:rStyle w:val="Internetverknpfung"/>
          </w:rPr>
          <w:t>https://machinelearningmastery.com/what-is-deep-learning/</w:t>
        </w:r>
      </w:hyperlink>
    </w:p>
    <w:p>
      <w:pPr>
        <w:pStyle w:val="Normal"/>
        <w:rPr/>
      </w:pPr>
      <w:hyperlink r:id="rId25">
        <w:r>
          <w:rPr>
            <w:rStyle w:val="Internetverknpfung"/>
          </w:rPr>
          <w:t>https://arxiv.org/pdf/2101.01907.pdf</w:t>
        </w:r>
      </w:hyperlink>
      <w:r>
        <w:rPr/>
        <w:t xml:space="preserve">   dl ganz neues paper überblick</w:t>
      </w:r>
    </w:p>
    <w:p>
      <w:pPr>
        <w:pStyle w:val="Normal"/>
        <w:rPr/>
      </w:pPr>
      <w:r>
        <w:rPr/>
        <w:t>cuda</w:t>
      </w:r>
    </w:p>
    <w:p>
      <w:pPr>
        <w:pStyle w:val="Normal"/>
        <w:rPr/>
      </w:pPr>
      <w:r>
        <w:rPr/>
        <w:t xml:space="preserve">Datensätze nicht identisch wie in Freiburg </w:t>
      </w:r>
      <w:r>
        <w:rPr>
          <w:rFonts w:eastAsia="Wingdings" w:cs="Wingdings" w:ascii="Wingdings" w:hAnsi="Wingdings"/>
        </w:rPr>
        <w:t></w:t>
      </w:r>
      <w:r>
        <w:rPr/>
        <w:t xml:space="preserve"> paar rausgeworfen </w:t>
      </w:r>
    </w:p>
    <w:p>
      <w:pPr>
        <w:pStyle w:val="Normal"/>
        <w:rPr/>
      </w:pPr>
      <w:r>
        <w:rPr/>
        <w:t>Vlt risiko mit tensorflow kostenpflichtigkeit ansprechen</w:t>
      </w:r>
    </w:p>
    <w:p>
      <w:pPr>
        <w:pStyle w:val="Normal"/>
        <w:rPr/>
      </w:pPr>
      <w:r>
        <w:rPr/>
      </w:r>
    </w:p>
    <w:p>
      <w:pPr>
        <w:pStyle w:val="Normal"/>
        <w:rPr>
          <w:highlight w:val="yellow"/>
        </w:rPr>
      </w:pPr>
      <w:hyperlink r:id="rId26">
        <w:commentRangeStart w:id="17"/>
        <w:r>
          <w:rPr>
            <w:rStyle w:val="Internetverknpfung"/>
            <w:highlight w:val="yellow"/>
          </w:rPr>
          <w:t>https://pubmed.ncbi.nlm.nih.gov/19881490/</w:t>
        </w:r>
      </w:hyperlink>
    </w:p>
    <w:p>
      <w:pPr>
        <w:pStyle w:val="Normal"/>
        <w:rPr/>
      </w:pPr>
      <w:r>
        <w:rPr>
          <w:highlight w:val="yellow"/>
        </w:rPr>
        <w:t xml:space="preserve">paper dass zeigt das CPI pairs wichtig für </w:t>
      </w:r>
      <w:r>
        <w:rPr>
          <w:highlight w:val="yellow"/>
          <w:shd w:fill="FFFFFF" w:val="clear"/>
        </w:rPr>
        <w:t>discovery and development of safe and effective drugs</w:t>
      </w:r>
      <w:commentRangeEnd w:id="17"/>
      <w:r>
        <w:commentReference w:id="17"/>
      </w:r>
      <w:r>
        <w:rPr>
          <w:highlight w:val="yellow"/>
          <w:shd w:fill="FFFFFF" w:val="clear"/>
        </w:rPr>
      </w:r>
    </w:p>
    <w:p>
      <w:pPr>
        <w:pStyle w:val="Normal"/>
        <w:rPr/>
      </w:pPr>
      <w:r>
        <w:rPr/>
      </w:r>
    </w:p>
    <w:p>
      <w:pPr>
        <w:pStyle w:val="Berschrift1"/>
        <w:numPr>
          <w:ilvl w:val="0"/>
          <w:numId w:val="2"/>
        </w:numPr>
        <w:rPr/>
      </w:pPr>
      <w:bookmarkStart w:id="227" w:name="_Toc66477611"/>
      <w:bookmarkStart w:id="228" w:name="_Toc66981175"/>
      <w:r>
        <w:rPr/>
        <w:t>Zusammenfassung</w:t>
      </w:r>
      <w:bookmarkEnd w:id="227"/>
      <w:bookmarkEnd w:id="228"/>
    </w:p>
    <w:p>
      <w:pPr>
        <w:pStyle w:val="Normal"/>
        <w:rPr/>
      </w:pPr>
      <w:r>
        <w:rPr/>
      </w:r>
    </w:p>
    <w:p>
      <w:pPr>
        <w:pStyle w:val="Normal"/>
        <w:spacing w:lineRule="auto" w:line="259" w:before="0" w:after="160"/>
        <w:jc w:val="left"/>
        <w:rPr>
          <w:rFonts w:ascii="Arial" w:hAnsi="Arial" w:eastAsia="" w:cs="" w:cstheme="majorBidi" w:eastAsiaTheme="majorEastAsia"/>
          <w:sz w:val="36"/>
          <w:szCs w:val="32"/>
        </w:rPr>
      </w:pPr>
      <w:r>
        <w:rPr>
          <w:rFonts w:eastAsia="" w:cs="" w:cstheme="majorBidi" w:eastAsiaTheme="majorEastAsia" w:ascii="Arial" w:hAnsi="Arial"/>
          <w:sz w:val="36"/>
          <w:szCs w:val="32"/>
        </w:rPr>
      </w:r>
      <w:r>
        <w:br w:type="page"/>
      </w:r>
    </w:p>
    <w:p>
      <w:pPr>
        <w:pStyle w:val="Berschrift1"/>
        <w:numPr>
          <w:ilvl w:val="0"/>
          <w:numId w:val="2"/>
        </w:numPr>
        <w:rPr/>
      </w:pPr>
      <w:bookmarkStart w:id="229" w:name="_Toc66477612"/>
      <w:commentRangeStart w:id="18"/>
      <w:r>
        <w:rPr/>
        <w:t>Literaturverzeichnis</w:t>
      </w:r>
      <w:bookmarkStart w:id="230" w:name="_Toc66981176"/>
      <w:bookmarkEnd w:id="229"/>
      <w:bookmarkEnd w:id="230"/>
      <w:commentRangeEnd w:id="18"/>
      <w:r>
        <w:commentReference w:id="18"/>
      </w:r>
      <w:r>
        <w:rPr/>
      </w:r>
    </w:p>
    <w:p>
      <w:pPr>
        <w:pStyle w:val="Normal"/>
        <w:widowControl w:val="false"/>
        <w:ind w:left="640" w:hanging="640"/>
        <w:rPr/>
      </w:pPr>
      <w:r>
        <w:fldChar w:fldCharType="begin"/>
      </w:r>
      <w:r>
        <w:rPr/>
        <w:instrText>ADDIN Mendeley Bibliography CSL_BIBLIOGRAPHY</w:instrText>
      </w:r>
      <w:r>
        <w:rPr/>
        <w:fldChar w:fldCharType="separate"/>
      </w:r>
      <w:bookmarkStart w:id="231" w:name="__Fieldmark__2575_2337847765"/>
      <w:r>
        <w:rPr/>
      </w:r>
      <w:r>
        <w:rPr>
          <w:rFonts w:cs="Times New Roman"/>
          <w:szCs w:val="24"/>
        </w:rPr>
        <w:t>[</w:t>
      </w:r>
      <w:bookmarkStart w:id="232" w:name="__Fieldmark__5408_983630037"/>
      <w:r>
        <w:rPr>
          <w:rFonts w:cs="Times New Roman"/>
          <w:szCs w:val="24"/>
        </w:rPr>
        <w:t>1]</w:t>
        <w:tab/>
        <w:t>“Google-Software besiegt Go-Genie auch im letzten Match.” https://www.faz.net/aktuell/gesellschaft/menschen/google-computer-alphago-besiegt-go-weltmeister-14125664.html (accessed Feb. 15, 2021).</w:t>
      </w:r>
      <w:r>
        <w:rPr/>
      </w:r>
      <w:r>
        <w:rPr/>
        <w:fldChar w:fldCharType="end"/>
      </w:r>
      <w:bookmarkEnd w:id="231"/>
      <w:bookmarkEnd w:id="232"/>
    </w:p>
    <w:p>
      <w:pPr>
        <w:pStyle w:val="Normal"/>
        <w:widowControl w:val="false"/>
        <w:ind w:left="640" w:hanging="640"/>
        <w:rPr>
          <w:rFonts w:cs="Times New Roman"/>
          <w:szCs w:val="24"/>
        </w:rPr>
      </w:pPr>
      <w:r>
        <w:rPr>
          <w:rFonts w:cs="Times New Roman"/>
          <w:szCs w:val="24"/>
        </w:rPr>
        <w:t>[2]</w:t>
        <w:tab/>
        <w:t xml:space="preserve">D. Silver </w:t>
      </w:r>
      <w:r>
        <w:rPr>
          <w:rFonts w:cs="Times New Roman"/>
          <w:i/>
          <w:iCs/>
          <w:szCs w:val="24"/>
        </w:rPr>
        <w:t>et al.</w:t>
      </w:r>
      <w:r>
        <w:rPr>
          <w:rFonts w:cs="Times New Roman"/>
          <w:szCs w:val="24"/>
        </w:rPr>
        <w:t xml:space="preserve">, “Mastering the game of Go with deep neural networks and tree search,” </w:t>
      </w:r>
      <w:r>
        <w:rPr>
          <w:rFonts w:cs="Times New Roman"/>
          <w:i/>
          <w:iCs/>
          <w:szCs w:val="24"/>
        </w:rPr>
        <w:t>Nature</w:t>
      </w:r>
      <w:r>
        <w:rPr>
          <w:rFonts w:cs="Times New Roman"/>
          <w:szCs w:val="24"/>
        </w:rPr>
        <w:t>, vol. 529, no. 7587, pp. 484–489, 2016, doi: 10.1038/nature16961.</w:t>
      </w:r>
    </w:p>
    <w:p>
      <w:pPr>
        <w:pStyle w:val="Normal"/>
        <w:widowControl w:val="false"/>
        <w:ind w:left="640" w:hanging="640"/>
        <w:rPr>
          <w:rFonts w:cs="Times New Roman"/>
          <w:szCs w:val="24"/>
        </w:rPr>
      </w:pPr>
      <w:r>
        <w:rPr>
          <w:rFonts w:cs="Times New Roman"/>
          <w:szCs w:val="24"/>
        </w:rPr>
        <w:t>[3]</w:t>
        <w:tab/>
        <w:t xml:space="preserve">S. Rasp, P. D. Dueben, S. Scher, J. A. Weyn, S. Mouatadid, and N. Thuerey, “WeatherBench: A Benchmark Data Set for Data-Driven Weather Forecasting,” </w:t>
      </w:r>
      <w:r>
        <w:rPr>
          <w:rFonts w:cs="Times New Roman"/>
          <w:i/>
          <w:iCs/>
          <w:szCs w:val="24"/>
        </w:rPr>
        <w:t>J. Adv. Model. Earth Syst.</w:t>
      </w:r>
      <w:r>
        <w:rPr>
          <w:rFonts w:cs="Times New Roman"/>
          <w:szCs w:val="24"/>
        </w:rPr>
        <w:t>, vol. 12, no. 11, 2020, doi: 10.1029/2020MS002203.</w:t>
      </w:r>
    </w:p>
    <w:p>
      <w:pPr>
        <w:pStyle w:val="Normal"/>
        <w:widowControl w:val="false"/>
        <w:ind w:left="640" w:hanging="640"/>
        <w:rPr>
          <w:rFonts w:cs="Times New Roman"/>
          <w:szCs w:val="24"/>
        </w:rPr>
      </w:pPr>
      <w:r>
        <w:rPr>
          <w:rFonts w:cs="Times New Roman"/>
          <w:szCs w:val="24"/>
        </w:rPr>
        <w:t>[4]</w:t>
        <w:tab/>
        <w:t xml:space="preserve">A. El Sallab, M. Abdou, E. Perot, and S. Yogamani, “Deep reinforcement learning framework for autonomous driving,” </w:t>
      </w:r>
      <w:r>
        <w:rPr>
          <w:rFonts w:cs="Times New Roman"/>
          <w:i/>
          <w:iCs/>
          <w:szCs w:val="24"/>
        </w:rPr>
        <w:t>arXiv</w:t>
      </w:r>
      <w:r>
        <w:rPr>
          <w:rFonts w:cs="Times New Roman"/>
          <w:szCs w:val="24"/>
        </w:rPr>
        <w:t>, pp. 70–76, 2017.</w:t>
      </w:r>
    </w:p>
    <w:p>
      <w:pPr>
        <w:pStyle w:val="Normal"/>
        <w:widowControl w:val="false"/>
        <w:ind w:left="640" w:hanging="640"/>
        <w:rPr>
          <w:rFonts w:cs="Times New Roman"/>
          <w:szCs w:val="24"/>
        </w:rPr>
      </w:pPr>
      <w:r>
        <w:rPr>
          <w:rFonts w:cs="Times New Roman"/>
          <w:szCs w:val="24"/>
        </w:rPr>
        <w:t>[5]</w:t>
        <w:tab/>
        <w:t xml:space="preserve">E. V. Polyakov, M. S. Mazhanov, A. Y. Rolich, L. S. Voskov, M. V. Kachalova, and S. V. Polyakov, “Investigation and development of the intelligent voice assistant for the Internet of Things using machine learning,” </w:t>
      </w:r>
      <w:r>
        <w:rPr>
          <w:rFonts w:cs="Times New Roman"/>
          <w:i/>
          <w:iCs/>
          <w:szCs w:val="24"/>
        </w:rPr>
        <w:t>Moscow Work. Electron. Netw. Technol. MWENT 2018 - Proc.</w:t>
      </w:r>
      <w:r>
        <w:rPr>
          <w:rFonts w:cs="Times New Roman"/>
          <w:szCs w:val="24"/>
        </w:rPr>
        <w:t>, vol. 2018-March, pp. 1–5, 2018, doi: 10.1109/MWENT.2018.8337236.</w:t>
      </w:r>
    </w:p>
    <w:p>
      <w:pPr>
        <w:pStyle w:val="Normal"/>
        <w:widowControl w:val="false"/>
        <w:ind w:left="640" w:hanging="640"/>
        <w:rPr>
          <w:rFonts w:cs="Times New Roman"/>
          <w:szCs w:val="24"/>
        </w:rPr>
      </w:pPr>
      <w:r>
        <w:rPr>
          <w:rFonts w:cs="Times New Roman"/>
          <w:szCs w:val="24"/>
        </w:rPr>
        <w:t>[6]</w:t>
        <w:tab/>
        <w:t xml:space="preserve">A. Esteva </w:t>
      </w:r>
      <w:r>
        <w:rPr>
          <w:rFonts w:cs="Times New Roman"/>
          <w:i/>
          <w:iCs/>
          <w:szCs w:val="24"/>
        </w:rPr>
        <w:t>et al.</w:t>
      </w:r>
      <w:r>
        <w:rPr>
          <w:rFonts w:cs="Times New Roman"/>
          <w:szCs w:val="24"/>
        </w:rPr>
        <w:t xml:space="preserve">, “Dermatologist-level classification of skin cancer with deep neural networks,” </w:t>
      </w:r>
      <w:r>
        <w:rPr>
          <w:rFonts w:cs="Times New Roman"/>
          <w:i/>
          <w:iCs/>
          <w:szCs w:val="24"/>
        </w:rPr>
        <w:t>Nature</w:t>
      </w:r>
      <w:r>
        <w:rPr>
          <w:rFonts w:cs="Times New Roman"/>
          <w:szCs w:val="24"/>
        </w:rPr>
        <w:t>, vol. 542, no. 7639, pp. 115–118, 2017, doi: 10.1038/nature21056.</w:t>
      </w:r>
    </w:p>
    <w:p>
      <w:pPr>
        <w:pStyle w:val="Normal"/>
        <w:widowControl w:val="false"/>
        <w:ind w:left="640" w:hanging="640"/>
        <w:rPr>
          <w:rFonts w:cs="Times New Roman"/>
          <w:szCs w:val="24"/>
        </w:rPr>
      </w:pPr>
      <w:r>
        <w:rPr>
          <w:rFonts w:cs="Times New Roman"/>
          <w:szCs w:val="24"/>
        </w:rPr>
        <w:t>[7]</w:t>
        <w:tab/>
        <w:t>“No Title.” https://www.selfmem.eu/public_relations_media/magazine/what_motivates_us/081840/index.php.de (accessed Mar. 02, 2021).</w:t>
      </w:r>
    </w:p>
    <w:p>
      <w:pPr>
        <w:pStyle w:val="Normal"/>
        <w:widowControl w:val="false"/>
        <w:ind w:left="640" w:hanging="640"/>
        <w:rPr>
          <w:rFonts w:cs="Times New Roman"/>
          <w:szCs w:val="24"/>
        </w:rPr>
      </w:pPr>
      <w:r>
        <w:rPr>
          <w:rFonts w:cs="Times New Roman"/>
          <w:szCs w:val="24"/>
        </w:rPr>
        <w:t>[8]</w:t>
        <w:tab/>
        <w:t xml:space="preserve">I. Döbel </w:t>
      </w:r>
      <w:r>
        <w:rPr>
          <w:rFonts w:cs="Times New Roman"/>
          <w:i/>
          <w:iCs/>
          <w:szCs w:val="24"/>
        </w:rPr>
        <w:t>et al.</w:t>
      </w:r>
      <w:r>
        <w:rPr>
          <w:rFonts w:cs="Times New Roman"/>
          <w:szCs w:val="24"/>
        </w:rPr>
        <w:t xml:space="preserve">, “Maschinelles Lernen: Kompetenzen, Forschung, Anwendung,” </w:t>
      </w:r>
      <w:r>
        <w:rPr>
          <w:rFonts w:cs="Times New Roman"/>
          <w:i/>
          <w:iCs/>
          <w:szCs w:val="24"/>
        </w:rPr>
        <w:t>Fraunhofer-Gesellschaft zur Förderung der angewandten Forschung e.V.</w:t>
      </w:r>
      <w:r>
        <w:rPr>
          <w:rFonts w:cs="Times New Roman"/>
          <w:szCs w:val="24"/>
        </w:rPr>
        <w:t>, 2018. https://www.bigdata-ai.fraunhofer.de/content/dam/bigdata/de/documents/Publikationen/Fraunhofer_Studie_ML_201809.pdf.</w:t>
      </w:r>
    </w:p>
    <w:p>
      <w:pPr>
        <w:pStyle w:val="Normal"/>
        <w:widowControl w:val="false"/>
        <w:ind w:left="640" w:hanging="640"/>
        <w:rPr>
          <w:rFonts w:cs="Times New Roman"/>
          <w:szCs w:val="24"/>
        </w:rPr>
      </w:pPr>
      <w:r>
        <w:rPr>
          <w:rFonts w:cs="Times New Roman"/>
          <w:szCs w:val="24"/>
        </w:rPr>
        <w:t>[9]</w:t>
        <w:tab/>
        <w:t xml:space="preserve">R. Fjelland, “Why general artificial intelligence will not be realized,” </w:t>
      </w:r>
      <w:r>
        <w:rPr>
          <w:rFonts w:cs="Times New Roman"/>
          <w:i/>
          <w:iCs/>
          <w:szCs w:val="24"/>
        </w:rPr>
        <w:t>Humanit. Soc. Sci. Commun.</w:t>
      </w:r>
      <w:r>
        <w:rPr>
          <w:rFonts w:cs="Times New Roman"/>
          <w:szCs w:val="24"/>
        </w:rPr>
        <w:t>, vol. 7, no. 1, pp. 1–9, 2020, doi: 10.1057/s41599-020-0494-4.</w:t>
      </w:r>
    </w:p>
    <w:p>
      <w:pPr>
        <w:pStyle w:val="Normal"/>
        <w:widowControl w:val="false"/>
        <w:ind w:left="640" w:hanging="640"/>
        <w:rPr>
          <w:rFonts w:cs="Times New Roman"/>
          <w:szCs w:val="24"/>
        </w:rPr>
      </w:pPr>
      <w:r>
        <w:rPr>
          <w:rFonts w:cs="Times New Roman"/>
          <w:szCs w:val="24"/>
        </w:rPr>
        <w:t>[10]</w:t>
        <w:tab/>
        <w:t>“How To Design A Spam Filtering System with Machine Learning Algorithm.” https://towardsdatascience.com/email-spam-detection-1-2-b0e06a5c0472 (accessed Feb. 20, 2021).</w:t>
      </w:r>
    </w:p>
    <w:p>
      <w:pPr>
        <w:pStyle w:val="Normal"/>
        <w:widowControl w:val="false"/>
        <w:ind w:left="640" w:hanging="640"/>
        <w:rPr>
          <w:rFonts w:cs="Times New Roman"/>
          <w:szCs w:val="24"/>
        </w:rPr>
      </w:pPr>
      <w:r>
        <w:rPr>
          <w:rFonts w:cs="Times New Roman"/>
          <w:szCs w:val="24"/>
        </w:rPr>
        <w:t>[11]</w:t>
        <w:tab/>
        <w:t>“Verhindern von Überanpassung und unausgeglichenen Daten durch automatisiertes maschinelles Lernen.” https://docs.microsoft.com/de-de/azure/machine-learning/concept-manage-ml-pitfalls (accessed Feb. 22, 2021).</w:t>
      </w:r>
    </w:p>
    <w:p>
      <w:pPr>
        <w:pStyle w:val="Normal"/>
        <w:widowControl w:val="false"/>
        <w:ind w:left="640" w:hanging="640"/>
        <w:rPr>
          <w:rFonts w:cs="Times New Roman"/>
          <w:szCs w:val="24"/>
        </w:rPr>
      </w:pPr>
      <w:r>
        <w:rPr>
          <w:rFonts w:cs="Times New Roman"/>
          <w:szCs w:val="24"/>
        </w:rPr>
        <w:t>[12]</w:t>
        <w:tab/>
        <w:t>“Support Vector Machines (SVM); Universität Ulm.” http://www.mathematik.uni-ulm.de/stochastik/lehre/ss07/seminar_sl/fischer.pdf (accessed Feb. 24, 2021).</w:t>
      </w:r>
    </w:p>
    <w:p>
      <w:pPr>
        <w:pStyle w:val="Normal"/>
        <w:widowControl w:val="false"/>
        <w:ind w:left="640" w:hanging="640"/>
        <w:rPr>
          <w:rFonts w:cs="Times New Roman"/>
          <w:szCs w:val="24"/>
        </w:rPr>
      </w:pPr>
      <w:r>
        <w:rPr>
          <w:rFonts w:cs="Times New Roman"/>
          <w:szCs w:val="24"/>
        </w:rPr>
        <w:t>[13]</w:t>
        <w:tab/>
        <w:t>“Support Vector Machines (SVM) Ausarbeitung; Universität Ulm.” http://www.mathematik.uni-ulm.de/stochastik/lehre/ss07/seminar_sl/ausarbeitung_fischer.pdf (accessed Feb. 24, 2021).</w:t>
      </w:r>
    </w:p>
    <w:p>
      <w:pPr>
        <w:pStyle w:val="Normal"/>
        <w:widowControl w:val="false"/>
        <w:ind w:left="640" w:hanging="640"/>
        <w:rPr>
          <w:rFonts w:cs="Times New Roman"/>
          <w:szCs w:val="24"/>
        </w:rPr>
      </w:pPr>
      <w:r>
        <w:rPr>
          <w:rFonts w:cs="Times New Roman"/>
          <w:szCs w:val="24"/>
        </w:rPr>
        <w:t>[14]</w:t>
        <w:tab/>
        <w:t>“The Kernel Trick in Support Vector Classification.” https://towardsdatascience.com/the-kernel-trick-c98cdbcaeb3f (accessed Feb. 24, 2021).</w:t>
      </w:r>
    </w:p>
    <w:p>
      <w:pPr>
        <w:pStyle w:val="Normal"/>
        <w:widowControl w:val="false"/>
        <w:ind w:left="640" w:hanging="640"/>
        <w:rPr>
          <w:rFonts w:cs="Times New Roman"/>
          <w:szCs w:val="24"/>
        </w:rPr>
      </w:pPr>
      <w:r>
        <w:rPr>
          <w:rFonts w:cs="Times New Roman"/>
          <w:szCs w:val="24"/>
        </w:rPr>
        <w:t>[15]</w:t>
        <w:tab/>
        <w:t xml:space="preserve">“Das Gehirn,” </w:t>
      </w:r>
      <w:r>
        <w:rPr>
          <w:rFonts w:cs="Times New Roman"/>
          <w:i/>
          <w:iCs/>
          <w:szCs w:val="24"/>
        </w:rPr>
        <w:t>MAX-PLANCK-GESELLSCHAFT</w:t>
      </w:r>
      <w:r>
        <w:rPr>
          <w:rFonts w:cs="Times New Roman"/>
          <w:szCs w:val="24"/>
        </w:rPr>
        <w:t>. https://www.mpg.de/gehirn (accessed Feb. 26, 2021).</w:t>
      </w:r>
    </w:p>
    <w:p>
      <w:pPr>
        <w:pStyle w:val="Normal"/>
        <w:widowControl w:val="false"/>
        <w:ind w:left="640" w:hanging="640"/>
        <w:rPr>
          <w:rFonts w:cs="Times New Roman"/>
          <w:szCs w:val="24"/>
        </w:rPr>
      </w:pPr>
      <w:r>
        <w:rPr>
          <w:rFonts w:cs="Times New Roman"/>
          <w:szCs w:val="24"/>
        </w:rPr>
        <w:t>[16]</w:t>
        <w:tab/>
        <w:t xml:space="preserve">W. S. McCulloch and W. Pitts, “A logical calculus of the ideas immanent in nervous activity (reprinted from bulletin of mathematical biophysics, vol 5, pg 115-133, 1943),” </w:t>
      </w:r>
      <w:r>
        <w:rPr>
          <w:rFonts w:cs="Times New Roman"/>
          <w:i/>
          <w:iCs/>
          <w:szCs w:val="24"/>
        </w:rPr>
        <w:t>Bull. Math. Biol.</w:t>
      </w:r>
      <w:r>
        <w:rPr>
          <w:rFonts w:cs="Times New Roman"/>
          <w:szCs w:val="24"/>
        </w:rPr>
        <w:t>, vol. 52, no. 1--2, pp. 99–115, 1990, [Online]. Available: http://journals2.scholarsportal.info/pdf/00928240/v52i1-2/99_alcotiiina.xml.</w:t>
      </w:r>
    </w:p>
    <w:p>
      <w:pPr>
        <w:pStyle w:val="Normal"/>
        <w:widowControl w:val="false"/>
        <w:ind w:left="640" w:hanging="640"/>
        <w:rPr>
          <w:rFonts w:cs="Times New Roman"/>
          <w:szCs w:val="24"/>
        </w:rPr>
      </w:pPr>
      <w:r>
        <w:rPr>
          <w:rFonts w:cs="Times New Roman"/>
          <w:szCs w:val="24"/>
        </w:rPr>
        <w:t>[17]</w:t>
        <w:tab/>
        <w:t xml:space="preserve">F. Rosenblatt, “The perceptron: A probabilistic model for information storage and organization in the brain,” </w:t>
      </w:r>
      <w:r>
        <w:rPr>
          <w:rFonts w:cs="Times New Roman"/>
          <w:i/>
          <w:iCs/>
          <w:szCs w:val="24"/>
        </w:rPr>
        <w:t>Psychol. Rev.</w:t>
      </w:r>
      <w:r>
        <w:rPr>
          <w:rFonts w:cs="Times New Roman"/>
          <w:szCs w:val="24"/>
        </w:rPr>
        <w:t>, vol. 65, no. 6, pp. 386–408, 1958, doi: 10.1037/h0042519.</w:t>
      </w:r>
    </w:p>
    <w:p>
      <w:pPr>
        <w:pStyle w:val="Normal"/>
        <w:widowControl w:val="false"/>
        <w:ind w:left="640" w:hanging="640"/>
        <w:rPr>
          <w:rFonts w:cs="Times New Roman"/>
          <w:szCs w:val="24"/>
        </w:rPr>
      </w:pPr>
      <w:r>
        <w:rPr>
          <w:rFonts w:cs="Times New Roman"/>
          <w:szCs w:val="24"/>
        </w:rPr>
        <w:t>[18]</w:t>
        <w:tab/>
        <w:t xml:space="preserve">A. Scherer and A. Scherer, “Das Perzeptron,” </w:t>
      </w:r>
      <w:r>
        <w:rPr>
          <w:rFonts w:cs="Times New Roman"/>
          <w:i/>
          <w:iCs/>
          <w:szCs w:val="24"/>
        </w:rPr>
        <w:t>Neuronale Netze</w:t>
      </w:r>
      <w:r>
        <w:rPr>
          <w:rFonts w:cs="Times New Roman"/>
          <w:szCs w:val="24"/>
        </w:rPr>
        <w:t>, pp. 65–70, 1997, doi: 10.1007/978-3-322-86830-5_5.</w:t>
      </w:r>
    </w:p>
    <w:p>
      <w:pPr>
        <w:pStyle w:val="Normal"/>
        <w:widowControl w:val="false"/>
        <w:ind w:left="640" w:hanging="640"/>
        <w:rPr>
          <w:rFonts w:cs="Times New Roman"/>
          <w:szCs w:val="24"/>
        </w:rPr>
      </w:pPr>
      <w:r>
        <w:rPr>
          <w:rFonts w:cs="Times New Roman"/>
          <w:szCs w:val="24"/>
        </w:rPr>
        <w:t>[19]</w:t>
        <w:tab/>
        <w:t xml:space="preserve">I. Goodfellow, Y. Bengio, and A. Courville, </w:t>
      </w:r>
      <w:r>
        <w:rPr>
          <w:rFonts w:cs="Times New Roman"/>
          <w:i/>
          <w:iCs/>
          <w:szCs w:val="24"/>
        </w:rPr>
        <w:t>Deep Learning</w:t>
      </w:r>
      <w:r>
        <w:rPr>
          <w:rFonts w:cs="Times New Roman"/>
          <w:szCs w:val="24"/>
        </w:rPr>
        <w:t>. MIT Press, 2014.</w:t>
      </w:r>
    </w:p>
    <w:p>
      <w:pPr>
        <w:pStyle w:val="Normal"/>
        <w:widowControl w:val="false"/>
        <w:ind w:left="640" w:hanging="640"/>
        <w:rPr>
          <w:rFonts w:cs="Times New Roman"/>
          <w:szCs w:val="24"/>
        </w:rPr>
      </w:pPr>
      <w:r>
        <w:rPr>
          <w:rFonts w:cs="Times New Roman"/>
          <w:szCs w:val="24"/>
        </w:rPr>
        <w:t>[20]</w:t>
        <w:tab/>
        <w:t xml:space="preserve">O. J. Wouters, M. McKee, and J. Luyten, “Estimated Research and Development Investment Needed to Bring a New Medicine to Market, 2009-2018,” </w:t>
      </w:r>
      <w:r>
        <w:rPr>
          <w:rFonts w:cs="Times New Roman"/>
          <w:i/>
          <w:iCs/>
          <w:szCs w:val="24"/>
        </w:rPr>
        <w:t>JAMA - J. Am. Med. Assoc.</w:t>
      </w:r>
      <w:r>
        <w:rPr>
          <w:rFonts w:cs="Times New Roman"/>
          <w:szCs w:val="24"/>
        </w:rPr>
        <w:t>, vol. 323, no. 9, pp. 844–853, 2020, doi: 10.1001/jama.2020.1166.</w:t>
      </w:r>
    </w:p>
    <w:p>
      <w:pPr>
        <w:pStyle w:val="Normal"/>
        <w:widowControl w:val="false"/>
        <w:ind w:left="640" w:hanging="640"/>
        <w:rPr>
          <w:rFonts w:cs="Times New Roman"/>
          <w:szCs w:val="24"/>
        </w:rPr>
      </w:pPr>
      <w:r>
        <w:rPr>
          <w:rFonts w:cs="Times New Roman"/>
          <w:szCs w:val="24"/>
        </w:rPr>
        <w:t>[21]</w:t>
        <w:tab/>
        <w:t xml:space="preserve">G. Klebe, </w:t>
      </w:r>
      <w:r>
        <w:rPr>
          <w:rFonts w:cs="Times New Roman"/>
          <w:i/>
          <w:iCs/>
          <w:szCs w:val="24"/>
        </w:rPr>
        <w:t>Wirkstoffdesign</w:t>
      </w:r>
      <w:r>
        <w:rPr>
          <w:rFonts w:cs="Times New Roman"/>
          <w:szCs w:val="24"/>
        </w:rPr>
        <w:t>, 2.Auflage. Spektrum Akademischer Verlag, 2009.</w:t>
      </w:r>
    </w:p>
    <w:p>
      <w:pPr>
        <w:pStyle w:val="Normal"/>
        <w:widowControl w:val="false"/>
        <w:ind w:left="640" w:hanging="640"/>
        <w:rPr>
          <w:rFonts w:cs="Times New Roman"/>
          <w:szCs w:val="24"/>
        </w:rPr>
      </w:pPr>
      <w:r>
        <w:rPr>
          <w:rFonts w:cs="Times New Roman"/>
          <w:szCs w:val="24"/>
        </w:rPr>
        <w:t>[22]</w:t>
        <w:tab/>
        <w:t xml:space="preserve">D. Mendez </w:t>
      </w:r>
      <w:r>
        <w:rPr>
          <w:rFonts w:cs="Times New Roman"/>
          <w:i/>
          <w:iCs/>
          <w:szCs w:val="24"/>
        </w:rPr>
        <w:t>et al.</w:t>
      </w:r>
      <w:r>
        <w:rPr>
          <w:rFonts w:cs="Times New Roman"/>
          <w:szCs w:val="24"/>
        </w:rPr>
        <w:t xml:space="preserve">, “ChEMBL: Towards direct deposition of bioassay data,” </w:t>
      </w:r>
      <w:r>
        <w:rPr>
          <w:rFonts w:cs="Times New Roman"/>
          <w:i/>
          <w:iCs/>
          <w:szCs w:val="24"/>
        </w:rPr>
        <w:t>Nucleic Acids Res.</w:t>
      </w:r>
      <w:r>
        <w:rPr>
          <w:rFonts w:cs="Times New Roman"/>
          <w:szCs w:val="24"/>
        </w:rPr>
        <w:t>, vol. 47, no. D1, pp. D930–D940, 2019, doi: 10.1093/nar/gky1075.</w:t>
      </w:r>
    </w:p>
    <w:p>
      <w:pPr>
        <w:pStyle w:val="Normal"/>
        <w:widowControl w:val="false"/>
        <w:ind w:left="640" w:hanging="640"/>
        <w:rPr>
          <w:rFonts w:cs="Times New Roman"/>
          <w:szCs w:val="24"/>
        </w:rPr>
      </w:pPr>
      <w:r>
        <w:rPr>
          <w:rFonts w:cs="Times New Roman"/>
          <w:szCs w:val="24"/>
        </w:rPr>
        <w:t>[23]</w:t>
        <w:tab/>
        <w:t xml:space="preserve">D. S. Wishart </w:t>
      </w:r>
      <w:r>
        <w:rPr>
          <w:rFonts w:cs="Times New Roman"/>
          <w:i/>
          <w:iCs/>
          <w:szCs w:val="24"/>
        </w:rPr>
        <w:t>et al.</w:t>
      </w:r>
      <w:r>
        <w:rPr>
          <w:rFonts w:cs="Times New Roman"/>
          <w:szCs w:val="24"/>
        </w:rPr>
        <w:t xml:space="preserve">, “DrugBank 5.0: A major update to the DrugBank database for 2018,” </w:t>
      </w:r>
      <w:r>
        <w:rPr>
          <w:rFonts w:cs="Times New Roman"/>
          <w:i/>
          <w:iCs/>
          <w:szCs w:val="24"/>
        </w:rPr>
        <w:t>Nucleic Acids Res.</w:t>
      </w:r>
      <w:r>
        <w:rPr>
          <w:rFonts w:cs="Times New Roman"/>
          <w:szCs w:val="24"/>
        </w:rPr>
        <w:t>, vol. 46, no. D1, pp. D1074–D1082, 2018, doi: 10.1093/nar/gkx1037.</w:t>
      </w:r>
    </w:p>
    <w:p>
      <w:pPr>
        <w:pStyle w:val="Normal"/>
        <w:widowControl w:val="false"/>
        <w:ind w:left="640" w:hanging="640"/>
        <w:rPr>
          <w:rFonts w:cs="Times New Roman"/>
          <w:szCs w:val="24"/>
        </w:rPr>
      </w:pPr>
      <w:r>
        <w:rPr>
          <w:rFonts w:cs="Times New Roman"/>
          <w:szCs w:val="24"/>
        </w:rPr>
        <w:t>[24]</w:t>
        <w:tab/>
        <w:t xml:space="preserve">R. Wang, X. Fang, Y. Lu, C. Y. Yang, and S. Wang, “The PDBbind database: Methodologies and updates,” </w:t>
      </w:r>
      <w:r>
        <w:rPr>
          <w:rFonts w:cs="Times New Roman"/>
          <w:i/>
          <w:iCs/>
          <w:szCs w:val="24"/>
        </w:rPr>
        <w:t>J. Med. Chem.</w:t>
      </w:r>
      <w:r>
        <w:rPr>
          <w:rFonts w:cs="Times New Roman"/>
          <w:szCs w:val="24"/>
        </w:rPr>
        <w:t>, vol. 48, no. 12, pp. 4111–4119, 2005, doi: 10.1021/jm048957q.</w:t>
      </w:r>
    </w:p>
    <w:p>
      <w:pPr>
        <w:pStyle w:val="Normal"/>
        <w:widowControl w:val="false"/>
        <w:ind w:left="640" w:hanging="640"/>
        <w:rPr>
          <w:rFonts w:cs="Times New Roman"/>
          <w:szCs w:val="24"/>
        </w:rPr>
      </w:pPr>
      <w:r>
        <w:rPr>
          <w:rFonts w:cs="Times New Roman"/>
          <w:szCs w:val="24"/>
        </w:rPr>
        <w:t>[25]</w:t>
        <w:tab/>
        <w:t>“Scientific and technical journal articles.” https://data.worldbank.org/indicator/IP.JRN.ARTC.SC?year_low_desc=true (accessed Mar. 04, 2021).</w:t>
      </w:r>
    </w:p>
    <w:p>
      <w:pPr>
        <w:pStyle w:val="Normal"/>
        <w:widowControl w:val="false"/>
        <w:ind w:left="640" w:hanging="640"/>
        <w:rPr>
          <w:rFonts w:cs="Times New Roman"/>
          <w:szCs w:val="24"/>
        </w:rPr>
      </w:pPr>
      <w:r>
        <w:rPr>
          <w:rFonts w:cs="Times New Roman"/>
          <w:szCs w:val="24"/>
        </w:rPr>
        <w:t>[26]</w:t>
        <w:tab/>
        <w:t>D. R. Witte and J. Mülle, “Text Mining: Wissensgewinnung aus natürlichsprachigen Dokumenten,” 2005.</w:t>
      </w:r>
    </w:p>
    <w:p>
      <w:pPr>
        <w:pStyle w:val="Normal"/>
        <w:widowControl w:val="false"/>
        <w:ind w:left="640" w:hanging="640"/>
        <w:rPr>
          <w:rFonts w:cs="Times New Roman"/>
          <w:szCs w:val="24"/>
        </w:rPr>
      </w:pPr>
      <w:r>
        <w:rPr>
          <w:rFonts w:cs="Times New Roman"/>
          <w:szCs w:val="24"/>
        </w:rPr>
        <w:t>[27]</w:t>
        <w:tab/>
        <w:t>T. Jenssen, J. Komorowski, and E. Hovig, “A literature network of human genes for high-throughput analysis of gene,” vol. 28, no. may, pp. 21–28, 2001.</w:t>
      </w:r>
    </w:p>
    <w:p>
      <w:pPr>
        <w:pStyle w:val="Normal"/>
        <w:widowControl w:val="false"/>
        <w:ind w:left="640" w:hanging="640"/>
        <w:rPr>
          <w:rFonts w:cs="Times New Roman"/>
          <w:szCs w:val="24"/>
        </w:rPr>
      </w:pPr>
      <w:r>
        <w:rPr>
          <w:rFonts w:cs="Times New Roman"/>
          <w:szCs w:val="24"/>
        </w:rPr>
        <w:t>[28]</w:t>
        <w:tab/>
        <w:t>R. Kabiljo, A. B. Clegg, and A. J. Shepherd, “A realistic assessment of methods for extracting gene / protein interactions from free text,” vol. 12, pp. 1–12, 2009, doi: 10.1186/1471-2105-10-233.</w:t>
      </w:r>
    </w:p>
    <w:p>
      <w:pPr>
        <w:pStyle w:val="Normal"/>
        <w:widowControl w:val="false"/>
        <w:ind w:left="640" w:hanging="640"/>
        <w:rPr>
          <w:rFonts w:cs="Times New Roman"/>
          <w:szCs w:val="24"/>
        </w:rPr>
      </w:pPr>
      <w:r>
        <w:rPr>
          <w:rFonts w:cs="Times New Roman"/>
          <w:szCs w:val="24"/>
        </w:rPr>
        <w:t>[29]</w:t>
        <w:tab/>
        <w:t xml:space="preserve">F. Rinaldi </w:t>
      </w:r>
      <w:r>
        <w:rPr>
          <w:rFonts w:cs="Times New Roman"/>
          <w:i/>
          <w:iCs/>
          <w:szCs w:val="24"/>
        </w:rPr>
        <w:t>et al.</w:t>
      </w:r>
      <w:r>
        <w:rPr>
          <w:rFonts w:cs="Times New Roman"/>
          <w:szCs w:val="24"/>
        </w:rPr>
        <w:t>, “Open Access OntoGene in BioCreative II,” vol. 9, no. Suppl 2, pp. 1–11, 2008, doi: 10.1186/gb-2008-9-S2-S13.</w:t>
      </w:r>
    </w:p>
    <w:p>
      <w:pPr>
        <w:pStyle w:val="Normal"/>
        <w:widowControl w:val="false"/>
        <w:ind w:left="640" w:hanging="640"/>
        <w:rPr>
          <w:rFonts w:cs="Times New Roman"/>
          <w:szCs w:val="24"/>
        </w:rPr>
      </w:pPr>
      <w:r>
        <w:rPr>
          <w:rFonts w:cs="Times New Roman"/>
          <w:szCs w:val="24"/>
        </w:rPr>
        <w:t>[30]</w:t>
        <w:tab/>
        <w:t xml:space="preserve">J. M. Temkin and M. R. Gilder, “Extraction of protein interaction information from unstructured text using a context-free grammar,” </w:t>
      </w:r>
      <w:r>
        <w:rPr>
          <w:rFonts w:cs="Times New Roman"/>
          <w:i/>
          <w:iCs/>
          <w:szCs w:val="24"/>
        </w:rPr>
        <w:t>Bioinformatics</w:t>
      </w:r>
      <w:r>
        <w:rPr>
          <w:rFonts w:cs="Times New Roman"/>
          <w:szCs w:val="24"/>
        </w:rPr>
        <w:t>, vol. 19, no. 16, pp. 2046–2053, 2003, doi: 10.1093/bioinformatics/btg279.</w:t>
      </w:r>
    </w:p>
    <w:p>
      <w:pPr>
        <w:pStyle w:val="Normal"/>
        <w:widowControl w:val="false"/>
        <w:ind w:left="640" w:hanging="640"/>
        <w:rPr>
          <w:rFonts w:cs="Times New Roman"/>
          <w:szCs w:val="24"/>
        </w:rPr>
      </w:pPr>
      <w:r>
        <w:rPr>
          <w:rFonts w:cs="Times New Roman"/>
          <w:szCs w:val="24"/>
        </w:rPr>
        <w:t>[31]</w:t>
        <w:tab/>
        <w:t xml:space="preserve">Y. Hao, X. Zhu, M. Huang, and M. Li, “Discovering patterns to extract protein-protein interactions from the literature: Part II,” </w:t>
      </w:r>
      <w:r>
        <w:rPr>
          <w:rFonts w:cs="Times New Roman"/>
          <w:i/>
          <w:iCs/>
          <w:szCs w:val="24"/>
        </w:rPr>
        <w:t>Bioinformatics</w:t>
      </w:r>
      <w:r>
        <w:rPr>
          <w:rFonts w:cs="Times New Roman"/>
          <w:szCs w:val="24"/>
        </w:rPr>
        <w:t>, vol. 21, no. 15, pp. 3294–3300, 2005, doi: 10.1093/bioinformatics/bti493.</w:t>
      </w:r>
    </w:p>
    <w:p>
      <w:pPr>
        <w:pStyle w:val="Normal"/>
        <w:widowControl w:val="false"/>
        <w:ind w:left="640" w:hanging="640"/>
        <w:rPr>
          <w:rFonts w:cs="Times New Roman"/>
          <w:szCs w:val="24"/>
        </w:rPr>
      </w:pPr>
      <w:r>
        <w:rPr>
          <w:rFonts w:cs="Times New Roman"/>
          <w:szCs w:val="24"/>
        </w:rPr>
        <w:t>[32]</w:t>
        <w:tab/>
        <w:t xml:space="preserve">I. Segura-Bedmar, P. Martínez, and C. de Pablo-Sánchez, “Using a shallow linguistic kernel for drug-drug interaction extraction,” </w:t>
      </w:r>
      <w:r>
        <w:rPr>
          <w:rFonts w:cs="Times New Roman"/>
          <w:i/>
          <w:iCs/>
          <w:szCs w:val="24"/>
        </w:rPr>
        <w:t>J. Biomed. Inform.</w:t>
      </w:r>
      <w:r>
        <w:rPr>
          <w:rFonts w:cs="Times New Roman"/>
          <w:szCs w:val="24"/>
        </w:rPr>
        <w:t>, vol. 44, no. 5, pp. 789–804, 2011, doi: 10.1016/j.jbi.2011.04.005.</w:t>
      </w:r>
    </w:p>
    <w:p>
      <w:pPr>
        <w:pStyle w:val="Normal"/>
        <w:widowControl w:val="false"/>
        <w:ind w:left="640" w:hanging="640"/>
        <w:rPr>
          <w:rFonts w:cs="Times New Roman"/>
          <w:szCs w:val="24"/>
        </w:rPr>
      </w:pPr>
      <w:r>
        <w:rPr>
          <w:rFonts w:cs="Times New Roman"/>
          <w:szCs w:val="24"/>
        </w:rPr>
        <w:t>[33]</w:t>
        <w:tab/>
        <w:t xml:space="preserve">R. Chowdhary, J. Zhang, and J. S. Liu, “Bayesian inference of protein-protein interactions from biological literature,” </w:t>
      </w:r>
      <w:r>
        <w:rPr>
          <w:rFonts w:cs="Times New Roman"/>
          <w:i/>
          <w:iCs/>
          <w:szCs w:val="24"/>
        </w:rPr>
        <w:t>Bioinformatics</w:t>
      </w:r>
      <w:r>
        <w:rPr>
          <w:rFonts w:cs="Times New Roman"/>
          <w:szCs w:val="24"/>
        </w:rPr>
        <w:t>, vol. 25, no. 12, pp. 1536–1542, 2009, doi: 10.1093/bioinformatics/btp245.</w:t>
      </w:r>
    </w:p>
    <w:p>
      <w:pPr>
        <w:pStyle w:val="Normal"/>
        <w:widowControl w:val="false"/>
        <w:ind w:left="640" w:hanging="640"/>
        <w:rPr>
          <w:rFonts w:cs="Times New Roman"/>
          <w:szCs w:val="24"/>
        </w:rPr>
      </w:pPr>
      <w:r>
        <w:rPr>
          <w:rFonts w:cs="Times New Roman"/>
          <w:szCs w:val="24"/>
        </w:rPr>
        <w:t>[34]</w:t>
        <w:tab/>
        <w:t xml:space="preserve">C. Sun, L. Lin, X. Wang, and Y. Guan, “Using maximum entropy model to extract protein-protein interaction information from biomedical literature,” </w:t>
      </w:r>
      <w:r>
        <w:rPr>
          <w:rFonts w:cs="Times New Roman"/>
          <w:i/>
          <w:iCs/>
          <w:szCs w:val="24"/>
        </w:rPr>
        <w:t>Lect. Notes Comput. Sci. (including Subser. Lect. Notes Artif. Intell. Lect. Notes Bioinformatics)</w:t>
      </w:r>
      <w:r>
        <w:rPr>
          <w:rFonts w:cs="Times New Roman"/>
          <w:szCs w:val="24"/>
        </w:rPr>
        <w:t>, vol. 4681 LNCS, no. August, pp. 730–737, 2007, doi: 10.1007/978-3-540-74171-8_72.</w:t>
      </w:r>
    </w:p>
    <w:p>
      <w:pPr>
        <w:pStyle w:val="Normal"/>
        <w:widowControl w:val="false"/>
        <w:ind w:left="640" w:hanging="640"/>
        <w:rPr>
          <w:rFonts w:cs="Times New Roman"/>
          <w:szCs w:val="24"/>
        </w:rPr>
      </w:pPr>
      <w:r>
        <w:rPr>
          <w:rFonts w:cs="Times New Roman"/>
          <w:szCs w:val="24"/>
        </w:rPr>
        <w:t>[35]</w:t>
        <w:tab/>
        <w:t xml:space="preserve">D. Tikk, P. Thomas, P. Palaga, J. Hakenberg, and U. Leser, “A comprehensive benchmark of kernel methods to extract protein-protein interactions from literature,” </w:t>
      </w:r>
      <w:r>
        <w:rPr>
          <w:rFonts w:cs="Times New Roman"/>
          <w:i/>
          <w:iCs/>
          <w:szCs w:val="24"/>
        </w:rPr>
        <w:t>PLoS Comput. Biol.</w:t>
      </w:r>
      <w:r>
        <w:rPr>
          <w:rFonts w:cs="Times New Roman"/>
          <w:szCs w:val="24"/>
        </w:rPr>
        <w:t>, vol. 6, no. 7, p. 32, 2010, doi: 10.1371/journal.pcbi.1000837.</w:t>
      </w:r>
    </w:p>
    <w:p>
      <w:pPr>
        <w:pStyle w:val="Normal"/>
        <w:widowControl w:val="false"/>
        <w:ind w:left="640" w:hanging="640"/>
        <w:rPr>
          <w:rFonts w:cs="Times New Roman"/>
          <w:szCs w:val="24"/>
        </w:rPr>
      </w:pPr>
      <w:r>
        <w:rPr>
          <w:rFonts w:cs="Times New Roman"/>
          <w:szCs w:val="24"/>
        </w:rPr>
        <w:t>[36]</w:t>
        <w:tab/>
        <w:t xml:space="preserve">K. Döring </w:t>
      </w:r>
      <w:r>
        <w:rPr>
          <w:rFonts w:cs="Times New Roman"/>
          <w:i/>
          <w:iCs/>
          <w:szCs w:val="24"/>
        </w:rPr>
        <w:t>et al.</w:t>
      </w:r>
      <w:r>
        <w:rPr>
          <w:rFonts w:cs="Times New Roman"/>
          <w:szCs w:val="24"/>
        </w:rPr>
        <w:t xml:space="preserve">, “Automated recognition of functional compound-protein relationships in literature,” </w:t>
      </w:r>
      <w:r>
        <w:rPr>
          <w:rFonts w:cs="Times New Roman"/>
          <w:i/>
          <w:iCs/>
          <w:szCs w:val="24"/>
        </w:rPr>
        <w:t>PLoS One</w:t>
      </w:r>
      <w:r>
        <w:rPr>
          <w:rFonts w:cs="Times New Roman"/>
          <w:szCs w:val="24"/>
        </w:rPr>
        <w:t>, vol. 15, no. 3, pp. 1–14, 2020, doi: 10.1371/journal.pone.0220925.</w:t>
      </w:r>
    </w:p>
    <w:p>
      <w:pPr>
        <w:pStyle w:val="Normal"/>
        <w:widowControl w:val="false"/>
        <w:ind w:left="640" w:hanging="640"/>
        <w:rPr>
          <w:rFonts w:cs="Times New Roman"/>
          <w:szCs w:val="24"/>
        </w:rPr>
      </w:pPr>
      <w:r>
        <w:rPr>
          <w:rFonts w:cs="Times New Roman"/>
          <w:szCs w:val="24"/>
        </w:rPr>
        <w:t>[37]</w:t>
        <w:tab/>
        <w:t>D. Zhang and D. Wang, “Relation Classification via Recurrent Neural Network,” 2015, [Online]. Available: http://arxiv.org/abs/1508.01006.</w:t>
      </w:r>
    </w:p>
    <w:p>
      <w:pPr>
        <w:pStyle w:val="Normal"/>
        <w:widowControl w:val="false"/>
        <w:ind w:left="640" w:hanging="640"/>
        <w:rPr>
          <w:rFonts w:cs="Times New Roman"/>
          <w:szCs w:val="24"/>
        </w:rPr>
      </w:pPr>
      <w:r>
        <w:rPr>
          <w:rFonts w:cs="Times New Roman"/>
          <w:szCs w:val="24"/>
        </w:rPr>
        <w:t>[38]</w:t>
        <w:tab/>
        <w:t xml:space="preserve">C. Sun </w:t>
      </w:r>
      <w:r>
        <w:rPr>
          <w:rFonts w:cs="Times New Roman"/>
          <w:i/>
          <w:iCs/>
          <w:szCs w:val="24"/>
        </w:rPr>
        <w:t>et al.</w:t>
      </w:r>
      <w:r>
        <w:rPr>
          <w:rFonts w:cs="Times New Roman"/>
          <w:szCs w:val="24"/>
        </w:rPr>
        <w:t xml:space="preserve">, “Chemical-protein interaction extraction via Gaussian probability distribution and external biomedical knowledge,” </w:t>
      </w:r>
      <w:r>
        <w:rPr>
          <w:rFonts w:cs="Times New Roman"/>
          <w:i/>
          <w:iCs/>
          <w:szCs w:val="24"/>
        </w:rPr>
        <w:t>Bioinformatics</w:t>
      </w:r>
      <w:r>
        <w:rPr>
          <w:rFonts w:cs="Times New Roman"/>
          <w:szCs w:val="24"/>
        </w:rPr>
        <w:t>, vol. 36, no. 15, pp. 4323–4330, 2020, doi: 10.1093/bioinformatics/btaa491.</w:t>
      </w:r>
    </w:p>
    <w:p>
      <w:pPr>
        <w:pStyle w:val="Normal"/>
        <w:widowControl w:val="false"/>
        <w:ind w:left="640" w:hanging="640"/>
        <w:rPr>
          <w:rFonts w:cs="Times New Roman"/>
          <w:szCs w:val="24"/>
        </w:rPr>
      </w:pPr>
      <w:r>
        <w:rPr>
          <w:rFonts w:cs="Times New Roman"/>
          <w:szCs w:val="24"/>
        </w:rPr>
        <w:t>[39]</w:t>
        <w:tab/>
        <w:t xml:space="preserve">M. E. Peters </w:t>
      </w:r>
      <w:r>
        <w:rPr>
          <w:rFonts w:cs="Times New Roman"/>
          <w:i/>
          <w:iCs/>
          <w:szCs w:val="24"/>
        </w:rPr>
        <w:t>et al.</w:t>
      </w:r>
      <w:r>
        <w:rPr>
          <w:rFonts w:cs="Times New Roman"/>
          <w:szCs w:val="24"/>
        </w:rPr>
        <w:t xml:space="preserve">, “Deep contextualized word representations,” </w:t>
      </w:r>
      <w:r>
        <w:rPr>
          <w:rFonts w:cs="Times New Roman"/>
          <w:i/>
          <w:iCs/>
          <w:szCs w:val="24"/>
        </w:rPr>
        <w:t>NAACL HLT 2018 - 2018 Conf. North Am. Chapter Assoc. Comput. Linguist. Hum. Lang. Technol. - Proc. Conf.</w:t>
      </w:r>
      <w:r>
        <w:rPr>
          <w:rFonts w:cs="Times New Roman"/>
          <w:szCs w:val="24"/>
        </w:rPr>
        <w:t>, vol. 1, pp. 2227–2237, 2018, doi: 10.18653/v1/n18-1202.</w:t>
      </w:r>
    </w:p>
    <w:p>
      <w:pPr>
        <w:pStyle w:val="Normal"/>
        <w:widowControl w:val="false"/>
        <w:ind w:left="640" w:hanging="640"/>
        <w:rPr>
          <w:rFonts w:cs="Times New Roman"/>
          <w:szCs w:val="24"/>
        </w:rPr>
      </w:pPr>
      <w:r>
        <w:rPr>
          <w:rFonts w:cs="Times New Roman"/>
          <w:szCs w:val="24"/>
        </w:rPr>
        <w:t>[40]</w:t>
        <w:tab/>
        <w:t xml:space="preserve">J. Lee </w:t>
      </w:r>
      <w:r>
        <w:rPr>
          <w:rFonts w:cs="Times New Roman"/>
          <w:i/>
          <w:iCs/>
          <w:szCs w:val="24"/>
        </w:rPr>
        <w:t>et al.</w:t>
      </w:r>
      <w:r>
        <w:rPr>
          <w:rFonts w:cs="Times New Roman"/>
          <w:szCs w:val="24"/>
        </w:rPr>
        <w:t xml:space="preserve">, “BioBERT: A pre-trained biomedical language representation model for biomedical text mining,” </w:t>
      </w:r>
      <w:r>
        <w:rPr>
          <w:rFonts w:cs="Times New Roman"/>
          <w:i/>
          <w:iCs/>
          <w:szCs w:val="24"/>
        </w:rPr>
        <w:t>Bioinformatics</w:t>
      </w:r>
      <w:r>
        <w:rPr>
          <w:rFonts w:cs="Times New Roman"/>
          <w:szCs w:val="24"/>
        </w:rPr>
        <w:t>, vol. 36, no. 4, pp. 1234–1240, 2020, doi: 10.1093/bioinformatics/btz682.</w:t>
      </w:r>
    </w:p>
    <w:p>
      <w:pPr>
        <w:pStyle w:val="Normal"/>
        <w:widowControl w:val="false"/>
        <w:ind w:left="640" w:hanging="640"/>
        <w:rPr>
          <w:rFonts w:cs="Times New Roman"/>
          <w:szCs w:val="24"/>
        </w:rPr>
      </w:pPr>
      <w:r>
        <w:rPr>
          <w:rFonts w:cs="Times New Roman"/>
          <w:szCs w:val="24"/>
        </w:rPr>
        <w:t>[41]</w:t>
        <w:tab/>
        <w:t>“ChemProt corpus: BioCreative VI.” https://biocreative.bioinformatics.udel.edu/media/store/files/2017/ChemProt_Corpus.zip (accessed Mar. 08, 2021).</w:t>
      </w:r>
    </w:p>
    <w:p>
      <w:pPr>
        <w:pStyle w:val="Normal"/>
        <w:widowControl w:val="false"/>
        <w:ind w:left="640" w:hanging="640"/>
        <w:rPr>
          <w:rFonts w:cs="Times New Roman"/>
        </w:rPr>
      </w:pPr>
      <w:r>
        <w:rPr>
          <w:rFonts w:cs="Times New Roman"/>
          <w:szCs w:val="24"/>
        </w:rPr>
        <w:t>[42]</w:t>
        <w:tab/>
        <w:t>Kersten Döring, “Processing Information about Biomolecules with Text Mining and Machine Learning Approaches,” Albert-Ludwigs-Universität Freiburg im Breisgau, 2015.</w:t>
      </w:r>
    </w:p>
    <w:p>
      <w:pPr>
        <w:pStyle w:val="Normal"/>
        <w:rPr/>
      </w:pPr>
      <w:r>
        <w:rPr/>
      </w:r>
    </w:p>
    <w:p>
      <w:pPr>
        <w:pStyle w:val="Normal"/>
        <w:tabs>
          <w:tab w:val="left" w:pos="1318" w:leader="none"/>
        </w:tabs>
        <w:spacing w:lineRule="auto" w:line="240" w:before="0" w:after="128"/>
        <w:rPr>
          <w:rFonts w:cs="Times New Roman"/>
          <w:szCs w:val="24"/>
        </w:rPr>
      </w:pPr>
      <w:r>
        <w:rPr>
          <w:rFonts w:cs="Times New Roman"/>
          <w:szCs w:val="24"/>
        </w:rPr>
        <w:tab/>
      </w:r>
    </w:p>
    <w:p>
      <w:pPr>
        <w:pStyle w:val="Normal"/>
        <w:tabs>
          <w:tab w:val="left" w:pos="3834" w:leader="none"/>
          <w:tab w:val="left" w:pos="5149" w:leader="none"/>
        </w:tabs>
        <w:spacing w:before="0" w:after="120"/>
        <w:rPr/>
      </w:pPr>
      <w:r>
        <w:rPr/>
        <w:tab/>
        <w:tab/>
      </w:r>
    </w:p>
    <w:sectPr>
      <w:headerReference w:type="default" r:id="rId27"/>
      <w:footerReference w:type="default" r:id="rId28"/>
      <w:footnotePr>
        <w:numFmt w:val="decimal"/>
      </w:footnotePr>
      <w:type w:val="nextPage"/>
      <w:pgSz w:w="11906" w:h="16838"/>
      <w:pgMar w:left="1440" w:right="1440" w:header="708" w:top="1440" w:footer="708" w:bottom="1440" w:gutter="0"/>
      <w:pgNumType w:start="1"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nuel.Dorer@bwedu.de" w:date="2021-02-23T14:52:00Z" w:initials="M">
    <w:p>
      <w:r>
        <w:rPr>
          <w:rFonts w:ascii="Liberation Serif" w:hAnsi="Liberation Serif" w:eastAsia="DejaVu Sans" w:cs="DejaVu Sans"/>
          <w:sz w:val="24"/>
          <w:szCs w:val="24"/>
          <w:lang w:val="en-US" w:eastAsia="en-US" w:bidi="en-US"/>
        </w:rPr>
        <w:t>Oder ist Prüfer besser?</w:t>
      </w:r>
    </w:p>
  </w:comment>
  <w:comment w:id="1" w:author="Manuel.Dorer@bwedu.de" w:date="2021-02-23T14:52:00Z" w:initials="M">
    <w:p>
      <w:r>
        <w:rPr>
          <w:rFonts w:ascii="Liberation Serif" w:hAnsi="Liberation Serif" w:eastAsia="DejaVu Sans" w:cs="DejaVu Sans"/>
          <w:sz w:val="24"/>
          <w:szCs w:val="24"/>
          <w:lang w:val="en-US" w:eastAsia="en-US" w:bidi="en-US"/>
        </w:rPr>
        <w:t xml:space="preserve">Abstand /einrücken  innherhalb von standart festlegen </w:t>
      </w:r>
    </w:p>
    <w:p>
      <w:r>
        <w:rPr>
          <w:rFonts w:ascii="Liberation Serif" w:hAnsi="Liberation Serif" w:eastAsia="DejaVu Sans" w:cs="DejaVu Sans"/>
          <w:sz w:val="24"/>
          <w:szCs w:val="24"/>
          <w:lang w:val="en-US" w:eastAsia="en-US" w:bidi="en-US"/>
        </w:rPr>
      </w:r>
    </w:p>
  </w:comment>
  <w:comment w:id="2" w:author="Manuel.Dorer@bwedu.de" w:date="2021-02-23T14:53:00Z" w:initials="M">
    <w:p>
      <w:r>
        <w:rPr>
          <w:rFonts w:ascii="Liberation Serif" w:hAnsi="Liberation Serif" w:eastAsia="DejaVu Sans" w:cs="DejaVu Sans"/>
          <w:sz w:val="24"/>
          <w:szCs w:val="24"/>
          <w:lang w:val="en-US" w:eastAsia="en-US" w:bidi="en-US"/>
        </w:rPr>
        <w:t xml:space="preserve">Zitierstiel IEEE okay? </w:t>
      </w:r>
    </w:p>
  </w:comment>
  <w:comment w:id="3" w:author="Manuel.Dorer@bwedu.de" w:date="2021-02-23T11:47:00Z" w:initials="M">
    <w:p>
      <w:r>
        <w:rPr>
          <w:rFonts w:ascii="Liberation Serif" w:hAnsi="Liberation Serif" w:eastAsia="DejaVu Sans" w:cs="DejaVu Sans"/>
          <w:sz w:val="24"/>
          <w:szCs w:val="24"/>
          <w:lang w:val="en-US" w:eastAsia="en-US" w:bidi="en-US"/>
        </w:rPr>
        <w:t xml:space="preserve">Oder lieber hier nochmal „Künstliche Intelligenz (KI)“ schreiben, da es eine Überschrift ist? </w:t>
      </w:r>
    </w:p>
  </w:comment>
  <w:comment w:id="4" w:author="Manuel.Dorer@bwedu.de" w:date="2021-02-25T17:08:00Z" w:initials="M">
    <w:p>
      <w:r>
        <w:rPr>
          <w:rFonts w:ascii="Liberation Serif" w:hAnsi="Liberation Serif" w:eastAsia="DejaVu Sans" w:cs="DejaVu Sans"/>
          <w:sz w:val="24"/>
          <w:szCs w:val="24"/>
          <w:lang w:val="en-US" w:eastAsia="en-US" w:bidi="en-US"/>
        </w:rPr>
        <w:t xml:space="preserve">Quelle korrekt angeben </w:t>
      </w:r>
    </w:p>
  </w:comment>
  <w:comment w:id="5" w:author="Manuel Dorer" w:date="2021-02-26T11:59:00Z" w:initials="MD">
    <w:p>
      <w:r>
        <w:rPr>
          <w:rFonts w:ascii="Liberation Serif" w:hAnsi="Liberation Serif" w:eastAsia="DejaVu Sans" w:cs="DejaVu Sans"/>
          <w:sz w:val="24"/>
          <w:szCs w:val="24"/>
          <w:lang w:val="en-US" w:eastAsia="en-US" w:bidi="en-US"/>
        </w:rPr>
        <w:t>Selber gemacht, nur iconquelle</w:t>
      </w:r>
    </w:p>
  </w:comment>
  <w:comment w:id="6" w:author="Manuel Dorer" w:date="2021-03-15T17:32:00Z" w:initials="MD">
    <w:p>
      <w:r>
        <w:rPr>
          <w:rFonts w:ascii="Liberation Serif" w:hAnsi="Liberation Serif" w:eastAsia="DejaVu Sans" w:cs="DejaVu Sans"/>
          <w:sz w:val="24"/>
          <w:szCs w:val="24"/>
          <w:lang w:val="en-US" w:eastAsia="en-US" w:bidi="en-US"/>
        </w:rPr>
        <w:t>Quelle wird noch angegeben</w:t>
      </w:r>
    </w:p>
  </w:comment>
  <w:comment w:id="7" w:author="Manuel.Dorer@bwedu.de" w:date="2021-02-25T23:51:00Z" w:initials="M">
    <w:p>
      <w:r>
        <w:rPr>
          <w:rFonts w:ascii="Liberation Serif" w:hAnsi="Liberation Serif" w:eastAsia="DejaVu Sans" w:cs="DejaVu Sans"/>
          <w:sz w:val="24"/>
          <w:szCs w:val="24"/>
          <w:lang w:val="en-US" w:eastAsia="en-US" w:bidi="en-US"/>
        </w:rPr>
        <w:t xml:space="preserve">Quelle: allgemeines ML Paper </w:t>
      </w:r>
      <w:r>
        <w:rPr>
          <w:rFonts w:ascii="Wingdings" w:hAnsi="Wingdings" w:eastAsia="Wingdings" w:cs="Wingdings"/>
          <w:sz w:val="24"/>
          <w:szCs w:val="24"/>
          <w:lang w:val="en-US" w:eastAsia="en-US" w:bidi="en-US"/>
        </w:rPr>
        <w:t></w:t>
      </w:r>
      <w:r>
        <w:rPr>
          <w:rFonts w:ascii="Liberation Serif" w:hAnsi="Liberation Serif" w:eastAsia="DejaVu Sans" w:cs="DejaVu Sans"/>
          <w:sz w:val="24"/>
          <w:szCs w:val="24"/>
          <w:lang w:val="en-US" w:eastAsia="en-US" w:bidi="en-US"/>
        </w:rPr>
        <w:t xml:space="preserve"> wird noch angegeben</w:t>
      </w:r>
    </w:p>
  </w:comment>
  <w:comment w:id="8" w:author="Manuel Dorer" w:date="2021-03-17T17:54:00Z" w:initials="MD">
    <w:p>
      <w:r>
        <w:rPr>
          <w:rFonts w:ascii="Liberation Serif" w:hAnsi="Liberation Serif" w:eastAsia="DejaVu Sans" w:cs="DejaVu Sans"/>
          <w:sz w:val="24"/>
          <w:szCs w:val="24"/>
          <w:lang w:val="en-US" w:eastAsia="en-US" w:bidi="en-US"/>
        </w:rPr>
        <w:t>Nochmal besser Formulierung überlegen</w:t>
      </w:r>
    </w:p>
  </w:comment>
  <w:comment w:id="9" w:author="Manuel Dorer" w:date="2021-03-03T21:06:00Z" w:initials="MD">
    <w:p>
      <w:r>
        <w:rPr>
          <w:rFonts w:ascii="Liberation Serif" w:hAnsi="Liberation Serif" w:eastAsia="DejaVu Sans" w:cs="DejaVu Sans"/>
          <w:sz w:val="24"/>
          <w:szCs w:val="24"/>
          <w:lang w:val="en-US" w:eastAsia="en-US" w:bidi="en-US"/>
        </w:rPr>
        <w:t>ist binär für (0 oder 1) an der Stelle okay?</w:t>
      </w:r>
    </w:p>
  </w:comment>
  <w:comment w:id="10" w:author="Manuel Dorer" w:date="2021-03-17T16:57:00Z" w:initials="MD">
    <w:p>
      <w:r>
        <w:rPr>
          <w:rFonts w:ascii="Liberation Serif" w:hAnsi="Liberation Serif" w:eastAsia="DejaVu Sans" w:cs="DejaVu Sans"/>
          <w:sz w:val="24"/>
          <w:szCs w:val="24"/>
          <w:lang w:val="en-US" w:eastAsia="en-US" w:bidi="en-US"/>
        </w:rPr>
        <w:t>Wahrscheinlich ganz rausnehmen</w:t>
      </w:r>
    </w:p>
  </w:comment>
  <w:comment w:id="11" w:author="Manuel Dorer" w:date="2021-03-14T00:17:00Z" w:initials="MD">
    <w:p>
      <w:r>
        <w:rPr>
          <w:rFonts w:ascii="Liberation Serif" w:hAnsi="Liberation Serif" w:eastAsia="DejaVu Sans" w:cs="DejaVu Sans"/>
          <w:sz w:val="24"/>
          <w:szCs w:val="24"/>
          <w:lang w:val="en-US" w:eastAsia="en-US" w:bidi="en-US"/>
        </w:rPr>
        <w:t>Oder besser: Methoden und Datensätze ?</w:t>
      </w:r>
    </w:p>
  </w:comment>
  <w:comment w:id="12" w:author="Unbekannter Autor" w:date="2021-03-19T16:26:17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de-DE"/>
        </w:rPr>
        <w:t xml:space="preserve">Grafik einfügen wo beide kreuzvalidieerung drauf sind und sagen dass im folgenden nur für eine beschrieben wird </w:t>
      </w:r>
    </w:p>
  </w:comment>
  <w:comment w:id="13" w:author="Manuel Dorer" w:date="2021-03-17T23:35:00Z" w:initials="MD">
    <w:p>
      <w:r>
        <w:rPr>
          <w:rFonts w:ascii="Liberation Serif" w:hAnsi="Liberation Serif" w:eastAsia="DejaVu Sans" w:cs="DejaVu Sans"/>
          <w:sz w:val="24"/>
          <w:szCs w:val="24"/>
          <w:lang w:val="en-US" w:eastAsia="en-US" w:bidi="en-US"/>
        </w:rPr>
        <w:t>Vlt aus überschriften in 3.3 jewils das 10fachkv raus machen?</w:t>
      </w:r>
    </w:p>
  </w:comment>
  <w:comment w:id="14" w:author="Manuel Dorer" w:date="2021-03-18T16:13:00Z" w:initials="MD">
    <w:p>
      <w:r>
        <w:rPr>
          <w:rFonts w:ascii="Liberation Serif" w:hAnsi="Liberation Serif" w:eastAsia="DejaVu Sans" w:cs="DejaVu Sans"/>
          <w:sz w:val="24"/>
          <w:szCs w:val="24"/>
          <w:lang w:val="en-US" w:eastAsia="en-US" w:bidi="en-US"/>
        </w:rPr>
        <w:t>Vlt grenzwerte angeben</w:t>
      </w:r>
    </w:p>
  </w:comment>
  <w:comment w:id="15" w:author="Manuel Dorer" w:date="2021-03-18T17:38:00Z" w:initials="MD">
    <w:p>
      <w:r>
        <w:rPr>
          <w:rFonts w:ascii="Liberation Serif" w:hAnsi="Liberation Serif" w:eastAsia="DejaVu Sans" w:cs="DejaVu Sans"/>
          <w:sz w:val="24"/>
          <w:szCs w:val="24"/>
          <w:lang w:val="en-US" w:eastAsia="en-US" w:bidi="en-US"/>
        </w:rPr>
        <w:t>Etwas größer wichtig</w:t>
      </w:r>
    </w:p>
  </w:comment>
  <w:comment w:id="16" w:author="Manuel Dorer" w:date="2021-03-01T12:49:00Z" w:initials="MD">
    <w:p>
      <w:r>
        <w:rPr>
          <w:rFonts w:ascii="Liberation Serif" w:hAnsi="Liberation Serif" w:eastAsia="DejaVu Sans" w:cs="DejaVu Sans"/>
          <w:sz w:val="24"/>
          <w:szCs w:val="24"/>
          <w:lang w:val="en-US" w:eastAsia="en-US" w:bidi="en-US"/>
        </w:rPr>
        <w:t>inwiefern cv für vergleich taugt</w:t>
      </w:r>
    </w:p>
  </w:comment>
  <w:comment w:id="17" w:author="Manuel Dorer" w:date="2021-03-12T15:35:00Z" w:initials="MD">
    <w:p>
      <w:r>
        <w:rPr>
          <w:rFonts w:ascii="Liberation Serif" w:hAnsi="Liberation Serif" w:eastAsia="DejaVu Sans" w:cs="DejaVu Sans"/>
          <w:sz w:val="24"/>
          <w:szCs w:val="24"/>
          <w:lang w:val="en-US" w:eastAsia="en-US" w:bidi="en-US"/>
        </w:rPr>
        <w:t>Einarbeiten oder vlt in abstract</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 (die ersten zeiles des papers)</w:t>
      </w:r>
    </w:p>
  </w:comment>
  <w:comment w:id="18" w:author="Manuel Dorer" w:date="2021-03-15T17:09:00Z" w:initials="MD">
    <w:p>
      <w:r>
        <w:rPr>
          <w:rFonts w:ascii="Liberation Serif" w:hAnsi="Liberation Serif" w:eastAsia="DejaVu Sans" w:cs="DejaVu Sans"/>
          <w:sz w:val="24"/>
          <w:szCs w:val="24"/>
          <w:lang w:val="en-US" w:eastAsia="en-US" w:bidi="en-US"/>
        </w:rPr>
        <w:t>schauen dass nur die wichtigen infos da sind und bei websites keine titel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 w:name="Wingdings">
    <w:charset w:val="01"/>
    <w:family w:val="roman"/>
    <w:pitch w:val="variable"/>
  </w:font>
  <w:font w:name="Times new roman">
    <w:charset w:val="01"/>
    <w:family w:val="roman"/>
    <w:pitch w:val="default"/>
  </w:font>
  <w:font w:name="Consolas">
    <w:charset w:val="01"/>
    <w:family w:val="swiss"/>
    <w:pitch w:val="fixed"/>
  </w:font>
  <w:font w:name="times  New roman">
    <w:charset w:val="01"/>
    <w:family w:val="roman"/>
    <w:pitch w:val="default"/>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360" w:before="0" w:after="120"/>
      <w:jc w:val="both"/>
      <w:rPr/>
    </w:pPr>
    <w:r>
      <w:rPr/>
      <w:tab/>
      <w:tab/>
      <w:tab/>
      <w:tab/>
      <w:tab/>
      <w:tab/>
      <w:tab/>
      <w:tab/>
      <w:tab/>
      <w:tab/>
      <w:tab/>
      <w:tab/>
    </w:r>
    <w:r>
      <w:rPr/>
      <w:fldChar w:fldCharType="begin"/>
    </w:r>
    <w:r>
      <w:rPr/>
      <w:instrText> PAGE </w:instrText>
    </w:r>
    <w:r>
      <w:rPr/>
      <w:fldChar w:fldCharType="separate"/>
    </w:r>
    <w:r>
      <w:rPr/>
      <w:t>v</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360" w:before="0" w:after="120"/>
      <w:jc w:val="both"/>
      <w:rPr/>
    </w:pPr>
    <w:r>
      <w:rPr/>
      <w:tab/>
      <w:tab/>
      <w:tab/>
      <w:tab/>
      <w:tab/>
      <w:tab/>
      <w:tab/>
      <w:tab/>
      <w:tab/>
      <w:tab/>
      <w:tab/>
      <w:tab/>
    </w:r>
    <w:r>
      <w:rPr/>
      <w:fldChar w:fldCharType="begin"/>
    </w:r>
    <w:r>
      <w:rPr/>
      <w:instrText> PAGE </w:instrText>
    </w:r>
    <w:r>
      <w:rPr/>
      <w:fldChar w:fldCharType="separate"/>
    </w:r>
    <w:r>
      <w:rPr/>
      <w:t>20</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pPr>
      <w:r>
        <w:rPr>
          <w:rStyle w:val="Funotenzeichen"/>
        </w:rPr>
        <w:footnoteRef/>
      </w:r>
      <w:r>
        <w:rPr>
          <w:rStyle w:val="Funotenzeichen"/>
        </w:rPr>
        <w:tab/>
      </w:r>
    </w:p>
    <w:p>
      <w:pPr>
        <w:pStyle w:val="Funote"/>
        <w:rPr/>
      </w:pPr>
      <w:r>
        <w:rPr>
          <w:rStyle w:val="FootnoteCharacters"/>
        </w:rPr>
        <w:tab/>
      </w:r>
      <w:r>
        <w:rPr/>
        <w:t xml:space="preserve"> Zuerst wurde in einer VirtualBox unter Windows 10 begonnen, dann mittels einer neuen SSD ein Dual</w:t>
        <w:noBreakHyphen/>
        <w:t>Boot</w:t>
        <w:noBreakHyphen/>
        <w:t>System mit Ubuntu eingerichtet.</w:t>
      </w:r>
    </w:p>
  </w:footnote>
  <w:footnote w:id="3">
    <w:p>
      <w:pPr>
        <w:pStyle w:val="Normal"/>
        <w:rPr/>
      </w:pPr>
      <w:r>
        <w:rPr>
          <w:rStyle w:val="Funotenzeichen"/>
        </w:rPr>
        <w:footnoteRef/>
      </w:r>
      <w:r>
        <w:rPr>
          <w:rStyle w:val="Funotenzeichen"/>
        </w:rPr>
        <w:tab/>
      </w:r>
    </w:p>
    <w:p>
      <w:pPr>
        <w:pStyle w:val="Funote"/>
        <w:rPr/>
      </w:pPr>
      <w:r>
        <w:rPr>
          <w:rStyle w:val="FootnoteCharacters"/>
        </w:rPr>
        <w:tab/>
      </w:r>
      <w:r>
        <w:rPr/>
        <w:t xml:space="preserve"> https://github.com/dmis-lab/biobert</w:t>
      </w:r>
    </w:p>
  </w:footnote>
  <w:footnote w:id="4">
    <w:p>
      <w:pPr>
        <w:pStyle w:val="Normal"/>
        <w:rPr/>
      </w:pPr>
      <w:r>
        <w:rPr>
          <w:rStyle w:val="Funotenzeichen"/>
        </w:rPr>
        <w:footnoteRef/>
      </w:r>
      <w:r>
        <w:rPr>
          <w:rStyle w:val="Funotenzeichen"/>
        </w:rPr>
        <w:tab/>
      </w:r>
    </w:p>
    <w:p>
      <w:pPr>
        <w:pStyle w:val="Funote"/>
        <w:rPr/>
      </w:pPr>
      <w:r>
        <w:rPr>
          <w:rStyle w:val="FootnoteCharacters"/>
        </w:rPr>
        <w:tab/>
      </w:r>
      <w:r>
        <w:rPr/>
        <w:t xml:space="preserve"> </w:t>
      </w:r>
      <w:bookmarkStart w:id="235" w:name="_Hlk66582476"/>
      <w:r>
        <w:rPr/>
        <w:t>https://github.com/mmmddd98/ba_git</w:t>
      </w:r>
      <w:bookmarkEnd w:id="235"/>
    </w:p>
  </w:footnote>
  <w:footnote w:id="5">
    <w:p>
      <w:pPr>
        <w:pStyle w:val="Normal"/>
        <w:rPr/>
      </w:pPr>
      <w:r>
        <w:rPr>
          <w:rStyle w:val="Funotenzeichen"/>
        </w:rPr>
        <w:footnoteRef/>
      </w:r>
      <w:r>
        <w:rPr>
          <w:rStyle w:val="Funotenzeichen"/>
        </w:rPr>
        <w:tab/>
      </w:r>
    </w:p>
    <w:p>
      <w:pPr>
        <w:pStyle w:val="Funote"/>
        <w:rPr/>
      </w:pPr>
      <w:r>
        <w:rPr>
          <w:rStyle w:val="FootnoteCharacters"/>
        </w:rPr>
        <w:tab/>
      </w:r>
      <w:r>
        <w:rPr/>
        <w:t xml:space="preserve"> https://github.com/dmis-lab/biobert-pytorch</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ab/>
      <w:tab/>
      <w:tab/>
    </w:r>
    <w:r>
      <w:fldChar w:fldCharType="begin"/>
    </w:r>
    <w:r>
      <w:rPr/>
      <w:instrText>STYLEREF  "Überschrift 1"  \* MERGEFORMAT</w:instrText>
    </w:r>
    <w:r>
      <w:rPr/>
      <w:fldChar w:fldCharType="separate"/>
    </w:r>
    <w:bookmarkStart w:id="15" w:name="__Fieldmark__508_2337847765"/>
    <w:r>
      <w:rPr/>
    </w:r>
    <w:r>
      <w:rPr/>
    </w:r>
    <w:r>
      <w:rPr/>
      <w:fldChar w:fldCharType="end"/>
    </w:r>
    <w:bookmarkStart w:id="16" w:name="__Fieldmark__915_983630037"/>
    <w:bookmarkEnd w:id="15"/>
    <w:bookmarkEnd w:id="16"/>
    <w:r>
      <w:rPr/>
      <w:t>Abkürzungsverzeichnis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ab/>
      <w:tab/>
      <w:tab/>
    </w:r>
    <w:r>
      <w:fldChar w:fldCharType="begin"/>
    </w:r>
    <w:r>
      <w:rPr/>
      <w:instrText>STYLEREF  "Überschrift 1"  \* MERGEFORMAT</w:instrText>
    </w:r>
    <w:r>
      <w:rPr/>
      <w:fldChar w:fldCharType="separate"/>
    </w:r>
    <w:bookmarkStart w:id="233" w:name="__Fieldmark__2788_2337847765"/>
    <w:r>
      <w:rPr/>
    </w:r>
    <w:r>
      <w:rPr/>
    </w:r>
    <w:r>
      <w:rPr/>
      <w:fldChar w:fldCharType="end"/>
    </w:r>
    <w:bookmarkStart w:id="234" w:name="__Fieldmark__5818_983630037"/>
    <w:bookmarkEnd w:id="233"/>
    <w:bookmarkEnd w:id="234"/>
    <w:r>
      <w:rPr/>
      <w:t>Literaturverzeichnis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ind w:left="432" w:hanging="432"/>
      </w:pPr>
    </w:lvl>
    <w:lvl w:ilvl="1">
      <w:start w:val="1"/>
      <w:pStyle w:val="Berschrift2"/>
      <w:numFmt w:val="decimal"/>
      <w:lvlText w:val="%1.%2"/>
      <w:lvlJc w:val="left"/>
      <w:pPr>
        <w:ind w:left="576" w:hanging="576"/>
      </w:pPr>
    </w:lvl>
    <w:lvl w:ilvl="2">
      <w:start w:val="1"/>
      <w:pStyle w:val="Berschrift3"/>
      <w:numFmt w:val="decimal"/>
      <w:lvlText w:val="%1.%2.%3"/>
      <w:lvlJc w:val="left"/>
      <w:pPr>
        <w:ind w:left="720" w:hanging="720"/>
      </w:pPr>
    </w:lvl>
    <w:lvl w:ilvl="3">
      <w:start w:val="1"/>
      <w:numFmt w:val="none"/>
      <w:suff w:val="nothing"/>
      <w:lvlText w:val=""/>
      <w:lvlJc w:val="left"/>
      <w:pPr>
        <w:ind w:left="0" w:hanging="0"/>
      </w:pPr>
    </w:lvl>
    <w:lvl w:ilvl="4">
      <w:start w:val="1"/>
      <w:pStyle w:val="Berschrift5"/>
      <w:numFmt w:val="decimal"/>
      <w:lvlText w:val="%1.%2.%3.%5"/>
      <w:lvlJc w:val="left"/>
      <w:pPr>
        <w:ind w:left="1008" w:hanging="1008"/>
      </w:pPr>
    </w:lvl>
    <w:lvl w:ilvl="5">
      <w:start w:val="1"/>
      <w:pStyle w:val="Berschrift6"/>
      <w:numFmt w:val="decimal"/>
      <w:lvlText w:val="%1.%2.%3.%5.%6"/>
      <w:lvlJc w:val="left"/>
      <w:pPr>
        <w:ind w:left="1152" w:hanging="1152"/>
      </w:pPr>
    </w:lvl>
    <w:lvl w:ilvl="6">
      <w:start w:val="1"/>
      <w:pStyle w:val="Berschrift7"/>
      <w:numFmt w:val="decimal"/>
      <w:lvlText w:val="%1.%2.%3.%5.%6.%7"/>
      <w:lvlJc w:val="left"/>
      <w:pPr>
        <w:ind w:left="1296" w:hanging="1296"/>
      </w:pPr>
    </w:lvl>
    <w:lvl w:ilvl="7">
      <w:start w:val="1"/>
      <w:pStyle w:val="Berschrift8"/>
      <w:numFmt w:val="decimal"/>
      <w:lvlText w:val="%1.%2.%3.%5.%6.%7.%8"/>
      <w:lvlJc w:val="left"/>
      <w:pPr>
        <w:ind w:left="1440" w:hanging="1440"/>
      </w:pPr>
    </w:lvl>
    <w:lvl w:ilvl="8">
      <w:start w:val="1"/>
      <w:pStyle w:val="Berschrift9"/>
      <w:numFmt w:val="decimal"/>
      <w:lvlText w:val="%1.%2.%3.%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1068" w:hanging="360"/>
      </w:pPr>
      <w:rPr>
        <w:b/>
        <w:bCs w:val="false"/>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lvl w:ilvl="0">
      <w:start w:val="1"/>
      <w:numFmt w:val="decimal"/>
      <w:lvlText w:val="%1)"/>
      <w:lvlJc w:val="left"/>
      <w:pPr>
        <w:ind w:left="1068" w:hanging="360"/>
      </w:pPr>
      <w:rPr>
        <w:b w:val="false"/>
        <w:bCs w:val="false"/>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8">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hu-H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029fb"/>
    <w:pPr>
      <w:widowControl/>
      <w:bidi w:val="0"/>
      <w:spacing w:lineRule="auto" w:line="360" w:before="0" w:after="120"/>
      <w:jc w:val="both"/>
    </w:pPr>
    <w:rPr>
      <w:rFonts w:ascii="Times New Roman" w:hAnsi="Times New Roman" w:eastAsia="Calibri" w:cs="" w:cstheme="minorBidi" w:eastAsiaTheme="minorHAnsi"/>
      <w:color w:val="auto"/>
      <w:kern w:val="0"/>
      <w:sz w:val="22"/>
      <w:szCs w:val="22"/>
      <w:lang w:val="de-DE" w:eastAsia="en-US" w:bidi="ar-SA"/>
    </w:rPr>
  </w:style>
  <w:style w:type="paragraph" w:styleId="Berschrift1">
    <w:name w:val="Heading 1"/>
    <w:basedOn w:val="Normal"/>
    <w:next w:val="Normal"/>
    <w:link w:val="berschrift1Zchn"/>
    <w:uiPriority w:val="9"/>
    <w:qFormat/>
    <w:rsid w:val="00c826bb"/>
    <w:pPr>
      <w:keepNext w:val="true"/>
      <w:keepLines/>
      <w:numPr>
        <w:ilvl w:val="0"/>
        <w:numId w:val="1"/>
      </w:numPr>
      <w:spacing w:before="240" w:after="0"/>
      <w:outlineLvl w:val="0"/>
    </w:pPr>
    <w:rPr>
      <w:rFonts w:ascii="Arial" w:hAnsi="Arial" w:eastAsia="" w:cs="" w:cstheme="majorBidi" w:eastAsiaTheme="majorEastAsia"/>
      <w:b/>
      <w:sz w:val="36"/>
      <w:szCs w:val="32"/>
    </w:rPr>
  </w:style>
  <w:style w:type="paragraph" w:styleId="Berschrift2">
    <w:name w:val="Heading 2"/>
    <w:basedOn w:val="Normal"/>
    <w:next w:val="Normal"/>
    <w:link w:val="berschrift2Zchn"/>
    <w:uiPriority w:val="9"/>
    <w:unhideWhenUsed/>
    <w:qFormat/>
    <w:rsid w:val="0094691f"/>
    <w:pPr>
      <w:keepNext w:val="true"/>
      <w:keepLines/>
      <w:numPr>
        <w:ilvl w:val="1"/>
        <w:numId w:val="1"/>
      </w:numPr>
      <w:spacing w:before="40" w:after="0"/>
      <w:outlineLvl w:val="1"/>
    </w:pPr>
    <w:rPr>
      <w:rFonts w:ascii="Arial" w:hAnsi="Arial" w:eastAsia="" w:cs="" w:cstheme="majorBidi" w:eastAsiaTheme="majorEastAsia"/>
      <w:b/>
      <w:sz w:val="26"/>
      <w:szCs w:val="26"/>
    </w:rPr>
  </w:style>
  <w:style w:type="paragraph" w:styleId="Berschrift3">
    <w:name w:val="Heading 3"/>
    <w:basedOn w:val="Normal"/>
    <w:next w:val="Normal"/>
    <w:link w:val="berschrift3Zchn"/>
    <w:uiPriority w:val="9"/>
    <w:unhideWhenUsed/>
    <w:qFormat/>
    <w:rsid w:val="00e72e97"/>
    <w:pPr>
      <w:keepNext w:val="true"/>
      <w:keepLines/>
      <w:numPr>
        <w:ilvl w:val="2"/>
        <w:numId w:val="1"/>
      </w:numPr>
      <w:spacing w:before="40" w:after="0"/>
      <w:outlineLvl w:val="2"/>
    </w:pPr>
    <w:rPr>
      <w:rFonts w:ascii="Arial" w:hAnsi="Arial" w:eastAsia="" w:cs="" w:cstheme="majorBidi" w:eastAsiaTheme="majorEastAsia"/>
      <w:b/>
      <w:szCs w:val="24"/>
    </w:rPr>
  </w:style>
  <w:style w:type="paragraph" w:styleId="Berschrift4">
    <w:name w:val="Heading 4"/>
    <w:basedOn w:val="Normal"/>
    <w:next w:val="Normal"/>
    <w:link w:val="berschrift4Zchn"/>
    <w:uiPriority w:val="9"/>
    <w:unhideWhenUsed/>
    <w:qFormat/>
    <w:rsid w:val="00c81eaf"/>
    <w:pPr>
      <w:keepNext w:val="true"/>
      <w:keepLines/>
      <w:spacing w:before="40" w:after="0"/>
      <w:outlineLvl w:val="3"/>
    </w:pPr>
    <w:rPr>
      <w:rFonts w:ascii="Arial" w:hAnsi="Arial" w:eastAsia="" w:cs="" w:cstheme="majorBidi" w:eastAsiaTheme="majorEastAsia"/>
      <w:i/>
      <w:iCs/>
      <w:u w:val="single"/>
    </w:rPr>
  </w:style>
  <w:style w:type="paragraph" w:styleId="Berschrift5">
    <w:name w:val="Heading 5"/>
    <w:basedOn w:val="Normal"/>
    <w:next w:val="Normal"/>
    <w:link w:val="berschrift5Zchn"/>
    <w:uiPriority w:val="9"/>
    <w:unhideWhenUsed/>
    <w:qFormat/>
    <w:rsid w:val="004002a4"/>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Berschrift6">
    <w:name w:val="Heading 6"/>
    <w:basedOn w:val="Normal"/>
    <w:next w:val="Normal"/>
    <w:link w:val="berschrift6Zchn"/>
    <w:uiPriority w:val="9"/>
    <w:semiHidden/>
    <w:unhideWhenUsed/>
    <w:qFormat/>
    <w:rsid w:val="004002a4"/>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Berschrift7">
    <w:name w:val="Heading 7"/>
    <w:basedOn w:val="Normal"/>
    <w:next w:val="Normal"/>
    <w:link w:val="berschrift7Zchn"/>
    <w:uiPriority w:val="9"/>
    <w:semiHidden/>
    <w:unhideWhenUsed/>
    <w:qFormat/>
    <w:rsid w:val="004002a4"/>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Berschrift8">
    <w:name w:val="Heading 8"/>
    <w:basedOn w:val="Normal"/>
    <w:next w:val="Normal"/>
    <w:link w:val="berschrift8Zchn"/>
    <w:uiPriority w:val="9"/>
    <w:semiHidden/>
    <w:unhideWhenUsed/>
    <w:qFormat/>
    <w:rsid w:val="004002a4"/>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Berschrift9">
    <w:name w:val="Heading 9"/>
    <w:basedOn w:val="Normal"/>
    <w:next w:val="Normal"/>
    <w:link w:val="berschrift9Zchn"/>
    <w:uiPriority w:val="9"/>
    <w:semiHidden/>
    <w:unhideWhenUsed/>
    <w:qFormat/>
    <w:rsid w:val="004002a4"/>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Berschrift1Zchn" w:customStyle="1">
    <w:name w:val="Überschrift 1 Zchn"/>
    <w:basedOn w:val="DefaultParagraphFont"/>
    <w:link w:val="berschrift1"/>
    <w:uiPriority w:val="9"/>
    <w:qFormat/>
    <w:rsid w:val="00c826bb"/>
    <w:rPr>
      <w:rFonts w:ascii="Arial" w:hAnsi="Arial" w:eastAsia="" w:cs="" w:cstheme="majorBidi" w:eastAsiaTheme="majorEastAsia"/>
      <w:b/>
      <w:sz w:val="36"/>
      <w:szCs w:val="32"/>
      <w:lang w:val="de-DE"/>
    </w:rPr>
  </w:style>
  <w:style w:type="character" w:styleId="Berschrift2Zchn" w:customStyle="1">
    <w:name w:val="Überschrift 2 Zchn"/>
    <w:basedOn w:val="DefaultParagraphFont"/>
    <w:link w:val="berschrift2"/>
    <w:uiPriority w:val="9"/>
    <w:qFormat/>
    <w:rsid w:val="0094691f"/>
    <w:rPr>
      <w:rFonts w:ascii="Arial" w:hAnsi="Arial" w:eastAsia="" w:cs="" w:cstheme="majorBidi" w:eastAsiaTheme="majorEastAsia"/>
      <w:b/>
      <w:sz w:val="26"/>
      <w:szCs w:val="26"/>
      <w:lang w:val="de-DE"/>
    </w:rPr>
  </w:style>
  <w:style w:type="character" w:styleId="Internetverknpfung">
    <w:name w:val="Internetverknüpfung"/>
    <w:basedOn w:val="DefaultParagraphFont"/>
    <w:uiPriority w:val="99"/>
    <w:unhideWhenUsed/>
    <w:rsid w:val="00d4444c"/>
    <w:rPr>
      <w:color w:val="0563C1" w:themeColor="hyperlink"/>
      <w:u w:val="single"/>
    </w:rPr>
  </w:style>
  <w:style w:type="character" w:styleId="KopfzeileZchn" w:customStyle="1">
    <w:name w:val="Kopfzeile Zchn"/>
    <w:basedOn w:val="DefaultParagraphFont"/>
    <w:link w:val="Kopfzeile"/>
    <w:uiPriority w:val="99"/>
    <w:qFormat/>
    <w:rsid w:val="003f79a7"/>
    <w:rPr>
      <w:rFonts w:ascii="Times New Roman" w:hAnsi="Times New Roman"/>
      <w:sz w:val="24"/>
    </w:rPr>
  </w:style>
  <w:style w:type="character" w:styleId="FuzeileZchn" w:customStyle="1">
    <w:name w:val="Fußzeile Zchn"/>
    <w:basedOn w:val="DefaultParagraphFont"/>
    <w:link w:val="Fuzeile"/>
    <w:uiPriority w:val="99"/>
    <w:qFormat/>
    <w:rsid w:val="00cd6ff4"/>
    <w:rPr>
      <w:rFonts w:ascii="Times New Roman" w:hAnsi="Times New Roman"/>
      <w:sz w:val="24"/>
    </w:rPr>
  </w:style>
  <w:style w:type="character" w:styleId="Berschrift3Zchn" w:customStyle="1">
    <w:name w:val="Überschrift 3 Zchn"/>
    <w:basedOn w:val="DefaultParagraphFont"/>
    <w:link w:val="berschrift3"/>
    <w:uiPriority w:val="9"/>
    <w:qFormat/>
    <w:rsid w:val="00e72e97"/>
    <w:rPr>
      <w:rFonts w:ascii="Arial" w:hAnsi="Arial" w:eastAsia="" w:cs="" w:cstheme="majorBidi" w:eastAsiaTheme="majorEastAsia"/>
      <w:b/>
      <w:szCs w:val="24"/>
      <w:lang w:val="de-DE"/>
    </w:rPr>
  </w:style>
  <w:style w:type="character" w:styleId="PlaceholderText">
    <w:name w:val="Placeholder Text"/>
    <w:basedOn w:val="DefaultParagraphFont"/>
    <w:uiPriority w:val="99"/>
    <w:semiHidden/>
    <w:qFormat/>
    <w:rsid w:val="000c08a6"/>
    <w:rPr>
      <w:color w:val="808080"/>
    </w:rPr>
  </w:style>
  <w:style w:type="character" w:styleId="Annotationreference">
    <w:name w:val="annotation reference"/>
    <w:basedOn w:val="DefaultParagraphFont"/>
    <w:uiPriority w:val="99"/>
    <w:semiHidden/>
    <w:unhideWhenUsed/>
    <w:qFormat/>
    <w:rsid w:val="006c5efb"/>
    <w:rPr>
      <w:sz w:val="16"/>
      <w:szCs w:val="16"/>
    </w:rPr>
  </w:style>
  <w:style w:type="character" w:styleId="KommentartextZchn" w:customStyle="1">
    <w:name w:val="Kommentartext Zchn"/>
    <w:basedOn w:val="DefaultParagraphFont"/>
    <w:link w:val="Kommentartext"/>
    <w:uiPriority w:val="99"/>
    <w:semiHidden/>
    <w:qFormat/>
    <w:rsid w:val="006c5efb"/>
    <w:rPr>
      <w:sz w:val="20"/>
      <w:szCs w:val="20"/>
    </w:rPr>
  </w:style>
  <w:style w:type="character" w:styleId="KommentarthemaZchn" w:customStyle="1">
    <w:name w:val="Kommentarthema Zchn"/>
    <w:basedOn w:val="KommentartextZchn"/>
    <w:link w:val="Kommentarthema"/>
    <w:uiPriority w:val="99"/>
    <w:semiHidden/>
    <w:qFormat/>
    <w:rsid w:val="006c5efb"/>
    <w:rPr>
      <w:b/>
      <w:bCs/>
      <w:sz w:val="20"/>
      <w:szCs w:val="20"/>
    </w:rPr>
  </w:style>
  <w:style w:type="character" w:styleId="SprechblasentextZchn" w:customStyle="1">
    <w:name w:val="Sprechblasentext Zchn"/>
    <w:basedOn w:val="DefaultParagraphFont"/>
    <w:link w:val="Sprechblasentext"/>
    <w:uiPriority w:val="99"/>
    <w:semiHidden/>
    <w:qFormat/>
    <w:rsid w:val="006c5efb"/>
    <w:rPr>
      <w:rFonts w:ascii="Segoe UI" w:hAnsi="Segoe UI" w:cs="Segoe UI"/>
      <w:sz w:val="18"/>
      <w:szCs w:val="18"/>
    </w:rPr>
  </w:style>
  <w:style w:type="character" w:styleId="HTMLVorformatiertZchn" w:customStyle="1">
    <w:name w:val="HTML Vorformatiert Zchn"/>
    <w:basedOn w:val="DefaultParagraphFont"/>
    <w:link w:val="HTMLVorformatiert"/>
    <w:uiPriority w:val="99"/>
    <w:semiHidden/>
    <w:qFormat/>
    <w:rsid w:val="00fe7035"/>
    <w:rPr>
      <w:rFonts w:ascii="Courier New" w:hAnsi="Courier New" w:eastAsia="Times New Roman" w:cs="Courier New"/>
      <w:sz w:val="20"/>
      <w:szCs w:val="20"/>
      <w:lang w:val="en-US"/>
    </w:rPr>
  </w:style>
  <w:style w:type="character" w:styleId="KeinLeerraumZchn" w:customStyle="1">
    <w:name w:val="Kein Leerraum Zchn"/>
    <w:basedOn w:val="DefaultParagraphFont"/>
    <w:link w:val="KeinLeerraum"/>
    <w:uiPriority w:val="1"/>
    <w:qFormat/>
    <w:rsid w:val="00776894"/>
    <w:rPr>
      <w:sz w:val="24"/>
    </w:rPr>
  </w:style>
  <w:style w:type="character" w:styleId="TextkrperZchn" w:customStyle="1">
    <w:name w:val="Textkörper Zchn"/>
    <w:basedOn w:val="DefaultParagraphFont"/>
    <w:link w:val="Textkrper"/>
    <w:uiPriority w:val="1"/>
    <w:qFormat/>
    <w:rsid w:val="001f354a"/>
    <w:rPr>
      <w:rFonts w:ascii="Arial" w:hAnsi="Arial" w:eastAsia="Arial"/>
      <w:sz w:val="20"/>
      <w:szCs w:val="20"/>
      <w:lang w:val="en-US"/>
    </w:rPr>
  </w:style>
  <w:style w:type="character" w:styleId="Berschrift4Zchn" w:customStyle="1">
    <w:name w:val="Überschrift 4 Zchn"/>
    <w:basedOn w:val="DefaultParagraphFont"/>
    <w:link w:val="berschrift4"/>
    <w:uiPriority w:val="9"/>
    <w:qFormat/>
    <w:rsid w:val="00c81eaf"/>
    <w:rPr>
      <w:rFonts w:ascii="Arial" w:hAnsi="Arial" w:eastAsia="" w:cs="" w:cstheme="majorBidi" w:eastAsiaTheme="majorEastAsia"/>
      <w:i/>
      <w:iCs/>
      <w:u w:val="single"/>
      <w:lang w:val="de-DE"/>
    </w:rPr>
  </w:style>
  <w:style w:type="character" w:styleId="BaStdZchn" w:customStyle="1">
    <w:name w:val="ba_Std Zchn"/>
    <w:basedOn w:val="DefaultParagraphFont"/>
    <w:link w:val="baStd"/>
    <w:qFormat/>
    <w:rsid w:val="00a4067c"/>
    <w:rPr>
      <w:sz w:val="24"/>
    </w:rPr>
  </w:style>
  <w:style w:type="character" w:styleId="Ba1Zchn" w:customStyle="1">
    <w:name w:val="ba_Ü1 Zchn"/>
    <w:basedOn w:val="Berschrift1Zchn"/>
    <w:link w:val="ba1"/>
    <w:qFormat/>
    <w:rsid w:val="004002a4"/>
    <w:rPr>
      <w:rFonts w:ascii="Arial" w:hAnsi="Arial" w:eastAsia="" w:cs="" w:cstheme="majorBidi" w:eastAsiaTheme="majorEastAsia"/>
      <w:b/>
      <w:sz w:val="36"/>
      <w:szCs w:val="32"/>
      <w:lang w:val="de-DE"/>
    </w:rPr>
  </w:style>
  <w:style w:type="character" w:styleId="Ba2Zchn" w:customStyle="1">
    <w:name w:val="ba Ü2 Zchn"/>
    <w:basedOn w:val="Berschrift2Zchn"/>
    <w:link w:val="ba2"/>
    <w:qFormat/>
    <w:rsid w:val="004002a4"/>
    <w:rPr>
      <w:rFonts w:ascii="Arial" w:hAnsi="Arial" w:eastAsia="" w:cs="" w:cstheme="majorBidi" w:eastAsiaTheme="majorEastAsia"/>
      <w:b/>
      <w:sz w:val="26"/>
      <w:szCs w:val="26"/>
      <w:lang w:val="en-US"/>
    </w:rPr>
  </w:style>
  <w:style w:type="character" w:styleId="Berschrift5Zchn" w:customStyle="1">
    <w:name w:val="Überschrift 5 Zchn"/>
    <w:basedOn w:val="DefaultParagraphFont"/>
    <w:link w:val="berschrift5"/>
    <w:uiPriority w:val="9"/>
    <w:qFormat/>
    <w:rsid w:val="004002a4"/>
    <w:rPr>
      <w:rFonts w:ascii="Calibri Light" w:hAnsi="Calibri Light" w:eastAsia="" w:cs="" w:asciiTheme="majorHAnsi" w:cstheme="majorBidi" w:eastAsiaTheme="majorEastAsia" w:hAnsiTheme="majorHAnsi"/>
      <w:color w:val="2F5496" w:themeColor="accent1" w:themeShade="bf"/>
      <w:sz w:val="24"/>
      <w:lang w:val="de-DE"/>
    </w:rPr>
  </w:style>
  <w:style w:type="character" w:styleId="Berschrift6Zchn" w:customStyle="1">
    <w:name w:val="Überschrift 6 Zchn"/>
    <w:basedOn w:val="DefaultParagraphFont"/>
    <w:link w:val="berschrift6"/>
    <w:uiPriority w:val="9"/>
    <w:semiHidden/>
    <w:qFormat/>
    <w:rsid w:val="004002a4"/>
    <w:rPr>
      <w:rFonts w:ascii="Calibri Light" w:hAnsi="Calibri Light" w:eastAsia="" w:cs="" w:asciiTheme="majorHAnsi" w:cstheme="majorBidi" w:eastAsiaTheme="majorEastAsia" w:hAnsiTheme="majorHAnsi"/>
      <w:color w:val="1F3763" w:themeColor="accent1" w:themeShade="7f"/>
      <w:sz w:val="24"/>
      <w:lang w:val="de-DE"/>
    </w:rPr>
  </w:style>
  <w:style w:type="character" w:styleId="Berschrift7Zchn" w:customStyle="1">
    <w:name w:val="Überschrift 7 Zchn"/>
    <w:basedOn w:val="DefaultParagraphFont"/>
    <w:link w:val="berschrift7"/>
    <w:uiPriority w:val="9"/>
    <w:semiHidden/>
    <w:qFormat/>
    <w:rsid w:val="004002a4"/>
    <w:rPr>
      <w:rFonts w:ascii="Calibri Light" w:hAnsi="Calibri Light" w:eastAsia="" w:cs="" w:asciiTheme="majorHAnsi" w:cstheme="majorBidi" w:eastAsiaTheme="majorEastAsia" w:hAnsiTheme="majorHAnsi"/>
      <w:i/>
      <w:iCs/>
      <w:color w:val="1F3763" w:themeColor="accent1" w:themeShade="7f"/>
      <w:sz w:val="24"/>
      <w:lang w:val="de-DE"/>
    </w:rPr>
  </w:style>
  <w:style w:type="character" w:styleId="Berschrift8Zchn" w:customStyle="1">
    <w:name w:val="Überschrift 8 Zchn"/>
    <w:basedOn w:val="DefaultParagraphFont"/>
    <w:link w:val="berschrift8"/>
    <w:uiPriority w:val="9"/>
    <w:semiHidden/>
    <w:qFormat/>
    <w:rsid w:val="004002a4"/>
    <w:rPr>
      <w:rFonts w:ascii="Calibri Light" w:hAnsi="Calibri Light" w:eastAsia="" w:cs="" w:asciiTheme="majorHAnsi" w:cstheme="majorBidi" w:eastAsiaTheme="majorEastAsia" w:hAnsiTheme="majorHAnsi"/>
      <w:color w:val="272727" w:themeColor="text1" w:themeTint="d8"/>
      <w:sz w:val="21"/>
      <w:szCs w:val="21"/>
      <w:lang w:val="de-DE"/>
    </w:rPr>
  </w:style>
  <w:style w:type="character" w:styleId="Berschrift9Zchn" w:customStyle="1">
    <w:name w:val="Überschrift 9 Zchn"/>
    <w:basedOn w:val="DefaultParagraphFont"/>
    <w:link w:val="berschrift9"/>
    <w:uiPriority w:val="9"/>
    <w:semiHidden/>
    <w:qFormat/>
    <w:rsid w:val="004002a4"/>
    <w:rPr>
      <w:rFonts w:ascii="Calibri Light" w:hAnsi="Calibri Light" w:eastAsia="" w:cs="" w:asciiTheme="majorHAnsi" w:cstheme="majorBidi" w:eastAsiaTheme="majorEastAsia" w:hAnsiTheme="majorHAnsi"/>
      <w:i/>
      <w:iCs/>
      <w:color w:val="272727" w:themeColor="text1" w:themeTint="d8"/>
      <w:sz w:val="21"/>
      <w:szCs w:val="21"/>
      <w:lang w:val="de-DE"/>
    </w:rPr>
  </w:style>
  <w:style w:type="character" w:styleId="UnresolvedMention">
    <w:name w:val="Unresolved Mention"/>
    <w:basedOn w:val="DefaultParagraphFont"/>
    <w:uiPriority w:val="99"/>
    <w:semiHidden/>
    <w:unhideWhenUsed/>
    <w:qFormat/>
    <w:rsid w:val="0059756f"/>
    <w:rPr>
      <w:color w:val="605E5C"/>
      <w:shd w:fill="E1DFDD" w:val="clear"/>
    </w:rPr>
  </w:style>
  <w:style w:type="character" w:styleId="FollowedHyperlink">
    <w:name w:val="FollowedHyperlink"/>
    <w:basedOn w:val="DefaultParagraphFont"/>
    <w:uiPriority w:val="99"/>
    <w:semiHidden/>
    <w:unhideWhenUsed/>
    <w:qFormat/>
    <w:rsid w:val="002a09c7"/>
    <w:rPr>
      <w:color w:val="954F72" w:themeColor="followedHyperlink"/>
      <w:u w:val="single"/>
    </w:rPr>
  </w:style>
  <w:style w:type="character" w:styleId="AbbildungZchn" w:customStyle="1">
    <w:name w:val="Abbildung Zchn"/>
    <w:basedOn w:val="DefaultParagraphFont"/>
    <w:link w:val="Abbildung"/>
    <w:qFormat/>
    <w:rsid w:val="00695cb1"/>
    <w:rPr>
      <w:rFonts w:ascii="Times New Roman" w:hAnsi="Times New Roman"/>
      <w:lang w:val="de-DE"/>
    </w:rPr>
  </w:style>
  <w:style w:type="character" w:styleId="FunotentextZchn" w:customStyle="1">
    <w:name w:val="Fußnotentext Zchn"/>
    <w:basedOn w:val="DefaultParagraphFont"/>
    <w:link w:val="Funotentext"/>
    <w:uiPriority w:val="99"/>
    <w:semiHidden/>
    <w:qFormat/>
    <w:rsid w:val="00ad789f"/>
    <w:rPr>
      <w:rFonts w:ascii="Times New Roman" w:hAnsi="Times New Roman"/>
      <w:sz w:val="20"/>
      <w:szCs w:val="20"/>
      <w:lang w:val="de-DE"/>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ad789f"/>
    <w:rPr>
      <w:vertAlign w:val="superscript"/>
    </w:rPr>
  </w:style>
  <w:style w:type="character" w:styleId="Plc1" w:customStyle="1">
    <w:name w:val="pl-c1"/>
    <w:basedOn w:val="DefaultParagraphFont"/>
    <w:qFormat/>
    <w:rsid w:val="00144995"/>
    <w:rPr/>
  </w:style>
  <w:style w:type="character" w:styleId="FilenameZchn" w:customStyle="1">
    <w:name w:val="Filename Zchn"/>
    <w:basedOn w:val="DefaultParagraphFont"/>
    <w:link w:val="Filename"/>
    <w:qFormat/>
    <w:rsid w:val="00680b43"/>
    <w:rPr>
      <w:rFonts w:ascii="Courier New" w:hAnsi="Courier New" w:cs="Courier New"/>
      <w:lang w:val="de-DE"/>
    </w:rPr>
  </w:style>
  <w:style w:type="character" w:styleId="Plk" w:customStyle="1">
    <w:name w:val="pl-k"/>
    <w:basedOn w:val="DefaultParagraphFont"/>
    <w:qFormat/>
    <w:rsid w:val="00144995"/>
    <w:rPr/>
  </w:style>
  <w:style w:type="character" w:styleId="NurTextZchn" w:customStyle="1">
    <w:name w:val="Nur Text Zchn"/>
    <w:basedOn w:val="DefaultParagraphFont"/>
    <w:link w:val="NurText"/>
    <w:uiPriority w:val="99"/>
    <w:qFormat/>
    <w:rsid w:val="00c46250"/>
    <w:rPr>
      <w:rFonts w:ascii="Consolas" w:hAnsi="Consolas"/>
      <w:sz w:val="21"/>
      <w:szCs w:val="21"/>
      <w:lang w:val="de-DE"/>
    </w:rPr>
  </w:style>
  <w:style w:type="character" w:styleId="HTMLCode">
    <w:name w:val="HTML Code"/>
    <w:basedOn w:val="DefaultParagraphFont"/>
    <w:uiPriority w:val="99"/>
    <w:semiHidden/>
    <w:unhideWhenUsed/>
    <w:qFormat/>
    <w:rsid w:val="005b3433"/>
    <w:rPr>
      <w:rFonts w:ascii="Courier New" w:hAnsi="Courier New" w:eastAsia="Times New Roman" w:cs="Courier New"/>
      <w:sz w:val="20"/>
      <w:szCs w:val="20"/>
    </w:rPr>
  </w:style>
  <w:style w:type="character" w:styleId="TermcommandZchn" w:customStyle="1">
    <w:name w:val="term_command Zchn"/>
    <w:basedOn w:val="DefaultParagraphFont"/>
    <w:link w:val="termcommand"/>
    <w:qFormat/>
    <w:rsid w:val="00507a74"/>
    <w:rPr>
      <w:rFonts w:ascii="Consolas" w:hAnsi="Consolas" w:eastAsia="Times New Roman" w:cs="Courier New"/>
      <w:color w:val="24292E"/>
      <w:lang w:val="de-DE" w:eastAsia="de-DE"/>
    </w:rPr>
  </w:style>
  <w:style w:type="character" w:styleId="ListLabel1">
    <w:name w:val="ListLabel 1"/>
    <w:qFormat/>
    <w:rPr>
      <w:sz w:val="26"/>
      <w:szCs w:val="26"/>
    </w:rPr>
  </w:style>
  <w:style w:type="character" w:styleId="ListLabel2">
    <w:name w:val="ListLabel 2"/>
    <w:qFormat/>
    <w:rPr>
      <w:rFonts w:eastAsia="Calibri"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Calibri" w:cs="Times New Roman"/>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Calibri" w: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Times New Roman"/>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cs="Times New Roman"/>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cs=""/>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Calibri" w:cs="Times New Roman"/>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eastAsia="Calibri" w:cs=""/>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Calibri" w:cs=""/>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Calibri" w:cs=""/>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Calibri" w:cs=""/>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Calibri" w:cs=""/>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Calibri" w:cs="Times New Roman"/>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eastAsia="Calibri" w:cs=""/>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eastAsia="Calibri" w:cs=""/>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eastAsia="Calibri" w:cs=""/>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b/>
      <w:bCs w:val="false"/>
    </w:rPr>
  </w:style>
  <w:style w:type="character" w:styleId="ListLabel67">
    <w:name w:val="ListLabel 67"/>
    <w:qFormat/>
    <w:rPr>
      <w:b w:val="false"/>
      <w:bCs w:val="false"/>
    </w:rPr>
  </w:style>
  <w:style w:type="character" w:styleId="ListLabel68">
    <w:name w:val="ListLabel 68"/>
    <w:qFormat/>
    <w:rPr>
      <w:b/>
      <w:bCs/>
    </w:rPr>
  </w:style>
  <w:style w:type="character" w:styleId="ListLabel69">
    <w:name w:val="ListLabel 69"/>
    <w:qFormat/>
    <w:rPr>
      <w:rFonts w:eastAsia="Calibri" w:cs=""/>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eastAsia="Calibri" w:cs=""/>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eastAsia="Calibri" w:cs=""/>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style>
  <w:style w:type="character" w:styleId="ListLabel82">
    <w:name w:val="ListLabel 82"/>
    <w:qFormat/>
    <w:rPr>
      <w:highlight w:val="yellow"/>
    </w:rPr>
  </w:style>
  <w:style w:type="character" w:styleId="Verzeichnissprung">
    <w:name w:val="Verzeichnissprung"/>
    <w:qFormat/>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character" w:styleId="ListLabel83">
    <w:name w:val="ListLabel 83"/>
    <w:qFormat/>
    <w:rPr>
      <w:rFonts w:cs="Times New Roman"/>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b/>
      <w:bCs w:val="false"/>
    </w:rPr>
  </w:style>
  <w:style w:type="character" w:styleId="ListLabel93">
    <w:name w:val="ListLabel 93"/>
    <w:qFormat/>
    <w:rPr>
      <w:b w:val="false"/>
      <w:bCs w:val="false"/>
    </w:rPr>
  </w:style>
  <w:style w:type="character" w:styleId="ListLabel94">
    <w:name w:val="ListLabel 94"/>
    <w:qFormat/>
    <w:rPr>
      <w:b/>
      <w:bCs/>
    </w:rPr>
  </w:style>
  <w:style w:type="character" w:styleId="ListLabel95">
    <w:name w:val="ListLabel 95"/>
    <w:qFormat/>
    <w:rPr>
      <w:rFonts w:cs=""/>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style>
  <w:style w:type="character" w:styleId="ListLabel105">
    <w:name w:val="ListLabel 105"/>
    <w:qFormat/>
    <w:rPr>
      <w:highlight w:val="yellow"/>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TextkrperZchn"/>
    <w:uiPriority w:val="1"/>
    <w:qFormat/>
    <w:rsid w:val="001f354a"/>
    <w:pPr>
      <w:widowControl w:val="false"/>
      <w:spacing w:lineRule="auto" w:line="240" w:before="0" w:after="0"/>
      <w:ind w:left="1418" w:hanging="0"/>
      <w:jc w:val="left"/>
    </w:pPr>
    <w:rPr>
      <w:rFonts w:ascii="Arial" w:hAnsi="Arial" w:eastAsia="Arial"/>
      <w:sz w:val="20"/>
      <w:szCs w:val="20"/>
      <w:lang w:val="en-US"/>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rsid w:val="002d33e5"/>
    <w:pPr>
      <w:spacing w:before="0" w:after="120"/>
      <w:ind w:left="720" w:hanging="0"/>
      <w:contextualSpacing/>
    </w:pPr>
    <w:rPr/>
  </w:style>
  <w:style w:type="paragraph" w:styleId="TOCHeading">
    <w:name w:val="TOC Heading"/>
    <w:basedOn w:val="Berschrift1"/>
    <w:next w:val="Normal"/>
    <w:uiPriority w:val="39"/>
    <w:unhideWhenUsed/>
    <w:qFormat/>
    <w:rsid w:val="00d4444c"/>
    <w:pPr>
      <w:numPr>
        <w:ilvl w:val="0"/>
        <w:numId w:val="0"/>
      </w:numPr>
    </w:pPr>
    <w:rPr>
      <w:lang w:val="en-US"/>
    </w:rPr>
  </w:style>
  <w:style w:type="paragraph" w:styleId="Inhaltsverzeichnis1">
    <w:name w:val="TOC 1"/>
    <w:basedOn w:val="Normal"/>
    <w:next w:val="Normal"/>
    <w:autoRedefine/>
    <w:uiPriority w:val="39"/>
    <w:unhideWhenUsed/>
    <w:rsid w:val="00fd1ef4"/>
    <w:pPr>
      <w:keepLines/>
      <w:tabs>
        <w:tab w:val="left" w:pos="480" w:leader="none"/>
        <w:tab w:val="right" w:pos="9016" w:leader="dot"/>
      </w:tabs>
      <w:spacing w:lineRule="auto" w:line="240" w:before="0" w:after="100"/>
    </w:pPr>
    <w:rPr/>
  </w:style>
  <w:style w:type="paragraph" w:styleId="Inhaltsverzeichnis2">
    <w:name w:val="TOC 2"/>
    <w:basedOn w:val="Normal"/>
    <w:next w:val="Normal"/>
    <w:autoRedefine/>
    <w:uiPriority w:val="39"/>
    <w:unhideWhenUsed/>
    <w:rsid w:val="00f04969"/>
    <w:pPr>
      <w:tabs>
        <w:tab w:val="left" w:pos="660" w:leader="none"/>
        <w:tab w:val="right" w:pos="9016" w:leader="dot"/>
      </w:tabs>
      <w:spacing w:lineRule="auto" w:line="240" w:before="0" w:after="100"/>
      <w:ind w:left="220" w:hanging="0"/>
    </w:pPr>
    <w:rPr/>
  </w:style>
  <w:style w:type="paragraph" w:styleId="Kopfzeile">
    <w:name w:val="Header"/>
    <w:basedOn w:val="Normal"/>
    <w:link w:val="KopfzeileZchn"/>
    <w:uiPriority w:val="99"/>
    <w:unhideWhenUsed/>
    <w:rsid w:val="003f79a7"/>
    <w:pPr>
      <w:pBdr>
        <w:bottom w:val="single" w:sz="6" w:space="1" w:color="000000"/>
      </w:pBdr>
      <w:tabs>
        <w:tab w:val="center" w:pos="4536" w:leader="none"/>
        <w:tab w:val="center" w:pos="4680" w:leader="none"/>
        <w:tab w:val="right" w:pos="9360" w:leader="none"/>
      </w:tabs>
      <w:spacing w:lineRule="auto" w:line="240" w:before="0" w:after="0"/>
    </w:pPr>
    <w:rPr/>
  </w:style>
  <w:style w:type="paragraph" w:styleId="Fuzeile">
    <w:name w:val="Footer"/>
    <w:basedOn w:val="Normal"/>
    <w:link w:val="FuzeileZchn"/>
    <w:uiPriority w:val="99"/>
    <w:unhideWhenUsed/>
    <w:rsid w:val="00cd6ff4"/>
    <w:pPr>
      <w:pBdr>
        <w:top w:val="single" w:sz="6" w:space="1" w:color="000000"/>
      </w:pBdr>
      <w:tabs>
        <w:tab w:val="center" w:pos="4536" w:leader="none"/>
        <w:tab w:val="center" w:pos="4680" w:leader="none"/>
        <w:tab w:val="right" w:pos="9360" w:leader="none"/>
      </w:tabs>
      <w:spacing w:lineRule="auto" w:line="240" w:before="0" w:after="0"/>
    </w:pPr>
    <w:rPr/>
  </w:style>
  <w:style w:type="paragraph" w:styleId="Caption">
    <w:name w:val="caption"/>
    <w:basedOn w:val="Normal"/>
    <w:next w:val="Normal"/>
    <w:uiPriority w:val="35"/>
    <w:unhideWhenUsed/>
    <w:qFormat/>
    <w:rsid w:val="00f255a4"/>
    <w:pPr>
      <w:spacing w:lineRule="atLeast" w:line="240"/>
      <w:jc w:val="left"/>
    </w:pPr>
    <w:rPr>
      <w:iCs/>
      <w:sz w:val="20"/>
      <w:szCs w:val="18"/>
    </w:rPr>
  </w:style>
  <w:style w:type="paragraph" w:styleId="Annotationtext">
    <w:name w:val="annotation text"/>
    <w:basedOn w:val="Normal"/>
    <w:link w:val="KommentartextZchn"/>
    <w:uiPriority w:val="99"/>
    <w:semiHidden/>
    <w:unhideWhenUsed/>
    <w:qFormat/>
    <w:rsid w:val="006c5efb"/>
    <w:pPr>
      <w:spacing w:lineRule="auto" w:line="240"/>
    </w:pPr>
    <w:rPr>
      <w:sz w:val="20"/>
      <w:szCs w:val="20"/>
    </w:rPr>
  </w:style>
  <w:style w:type="paragraph" w:styleId="Annotationsubject">
    <w:name w:val="annotation subject"/>
    <w:basedOn w:val="Annotationtext"/>
    <w:link w:val="KommentarthemaZchn"/>
    <w:uiPriority w:val="99"/>
    <w:semiHidden/>
    <w:unhideWhenUsed/>
    <w:qFormat/>
    <w:rsid w:val="006c5efb"/>
    <w:pPr/>
    <w:rPr>
      <w:b/>
      <w:bCs/>
    </w:rPr>
  </w:style>
  <w:style w:type="paragraph" w:styleId="BalloonText">
    <w:name w:val="Balloon Text"/>
    <w:basedOn w:val="Normal"/>
    <w:link w:val="SprechblasentextZchn"/>
    <w:uiPriority w:val="99"/>
    <w:semiHidden/>
    <w:unhideWhenUsed/>
    <w:qFormat/>
    <w:rsid w:val="006c5efb"/>
    <w:pPr>
      <w:spacing w:lineRule="auto" w:line="240" w:before="0" w:after="0"/>
    </w:pPr>
    <w:rPr>
      <w:rFonts w:ascii="Segoe UI" w:hAnsi="Segoe UI" w:cs="Segoe UI"/>
      <w:sz w:val="18"/>
      <w:szCs w:val="18"/>
    </w:rPr>
  </w:style>
  <w:style w:type="paragraph" w:styleId="Revision">
    <w:name w:val="Revision"/>
    <w:uiPriority w:val="99"/>
    <w:semiHidden/>
    <w:qFormat/>
    <w:rsid w:val="00306c68"/>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hu-HU" w:eastAsia="en-US" w:bidi="ar-SA"/>
    </w:rPr>
  </w:style>
  <w:style w:type="paragraph" w:styleId="NoSpacing">
    <w:name w:val="No Spacing"/>
    <w:link w:val="KeinLeerraumZchn"/>
    <w:uiPriority w:val="1"/>
    <w:qFormat/>
    <w:rsid w:val="00f5464a"/>
    <w:pPr>
      <w:widowControl/>
      <w:bidi w:val="0"/>
      <w:spacing w:lineRule="auto" w:line="240" w:before="0" w:after="0"/>
      <w:jc w:val="both"/>
    </w:pPr>
    <w:rPr>
      <w:rFonts w:ascii="Calibri" w:hAnsi="Calibri" w:eastAsia="Calibri" w:cs="" w:asciiTheme="minorHAnsi" w:cstheme="minorBidi" w:eastAsiaTheme="minorHAnsi" w:hAnsiTheme="minorHAnsi"/>
      <w:color w:val="auto"/>
      <w:kern w:val="0"/>
      <w:sz w:val="24"/>
      <w:szCs w:val="22"/>
      <w:lang w:val="hu-HU" w:eastAsia="en-US" w:bidi="ar-SA"/>
    </w:rPr>
  </w:style>
  <w:style w:type="paragraph" w:styleId="Inhaltsverzeichnis3">
    <w:name w:val="TOC 3"/>
    <w:basedOn w:val="Normal"/>
    <w:next w:val="Normal"/>
    <w:autoRedefine/>
    <w:uiPriority w:val="39"/>
    <w:unhideWhenUsed/>
    <w:rsid w:val="00ec1397"/>
    <w:pPr>
      <w:spacing w:before="0" w:after="100"/>
      <w:ind w:left="480" w:hanging="0"/>
    </w:pPr>
    <w:rPr/>
  </w:style>
  <w:style w:type="paragraph" w:styleId="HTMLPreformatted">
    <w:name w:val="HTML Preformatted"/>
    <w:basedOn w:val="Normal"/>
    <w:link w:val="HTMLVorformatiertZchn"/>
    <w:uiPriority w:val="99"/>
    <w:semiHidden/>
    <w:unhideWhenUsed/>
    <w:qFormat/>
    <w:rsid w:val="00fe703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lang w:val="en-US"/>
    </w:rPr>
  </w:style>
  <w:style w:type="paragraph" w:styleId="BaStd" w:customStyle="1">
    <w:name w:val="ba_Std"/>
    <w:basedOn w:val="Normal"/>
    <w:link w:val="baStdZchn"/>
    <w:qFormat/>
    <w:rsid w:val="00a4067c"/>
    <w:pPr>
      <w:ind w:left="708" w:hanging="0"/>
    </w:pPr>
    <w:rPr/>
  </w:style>
  <w:style w:type="paragraph" w:styleId="Ba1" w:customStyle="1">
    <w:name w:val="ba_Ü1"/>
    <w:basedOn w:val="Berschrift1"/>
    <w:link w:val="ba1Zchn"/>
    <w:autoRedefine/>
    <w:qFormat/>
    <w:rsid w:val="004002a4"/>
    <w:pPr>
      <w:pageBreakBefore/>
      <w:numPr>
        <w:ilvl w:val="0"/>
        <w:numId w:val="0"/>
      </w:numPr>
      <w:spacing w:lineRule="auto" w:line="240" w:before="240" w:after="240"/>
    </w:pPr>
    <w:rPr/>
  </w:style>
  <w:style w:type="paragraph" w:styleId="Ba2" w:customStyle="1">
    <w:name w:val="ba Ü2"/>
    <w:basedOn w:val="Berschrift2"/>
    <w:link w:val="ba2Zchn"/>
    <w:qFormat/>
    <w:rsid w:val="004002a4"/>
    <w:pPr>
      <w:numPr>
        <w:ilvl w:val="0"/>
        <w:numId w:val="0"/>
      </w:numPr>
      <w:spacing w:lineRule="auto" w:line="240" w:before="0" w:after="160"/>
    </w:pPr>
    <w:rPr>
      <w:lang w:val="en-US"/>
    </w:rPr>
  </w:style>
  <w:style w:type="paragraph" w:styleId="Index1">
    <w:name w:val="index 1"/>
    <w:basedOn w:val="Normal"/>
    <w:next w:val="Normal"/>
    <w:autoRedefine/>
    <w:uiPriority w:val="99"/>
    <w:semiHidden/>
    <w:unhideWhenUsed/>
    <w:qFormat/>
    <w:rsid w:val="00c1498d"/>
    <w:pPr>
      <w:spacing w:lineRule="auto" w:line="240" w:before="0" w:after="0"/>
      <w:ind w:left="240" w:hanging="240"/>
    </w:pPr>
    <w:rPr/>
  </w:style>
  <w:style w:type="paragraph" w:styleId="Abbildung" w:customStyle="1">
    <w:name w:val="Abbildung"/>
    <w:basedOn w:val="Normal"/>
    <w:link w:val="AbbildungZchn"/>
    <w:qFormat/>
    <w:rsid w:val="00695cb1"/>
    <w:pPr>
      <w:keepNext w:val="true"/>
      <w:spacing w:lineRule="atLeast" w:line="240" w:before="240" w:after="120"/>
      <w:jc w:val="left"/>
    </w:pPr>
    <w:rPr>
      <w:shd w:fill="FFFFFF" w:val="clear"/>
    </w:rPr>
  </w:style>
  <w:style w:type="paragraph" w:styleId="ListBullet">
    <w:name w:val="List Bullet"/>
    <w:basedOn w:val="Normal"/>
    <w:uiPriority w:val="99"/>
    <w:unhideWhenUsed/>
    <w:qFormat/>
    <w:rsid w:val="00421628"/>
    <w:pPr>
      <w:spacing w:before="0" w:after="120"/>
      <w:contextualSpacing/>
    </w:pPr>
    <w:rPr/>
  </w:style>
  <w:style w:type="paragraph" w:styleId="NormalWeb">
    <w:name w:val="Normal (Web)"/>
    <w:basedOn w:val="Normal"/>
    <w:uiPriority w:val="99"/>
    <w:semiHidden/>
    <w:unhideWhenUsed/>
    <w:qFormat/>
    <w:rsid w:val="003f2a4b"/>
    <w:pPr>
      <w:spacing w:lineRule="auto" w:line="240" w:beforeAutospacing="1" w:afterAutospacing="1"/>
      <w:jc w:val="left"/>
    </w:pPr>
    <w:rPr>
      <w:rFonts w:eastAsia="Times New Roman" w:cs="Times New Roman"/>
      <w:sz w:val="24"/>
      <w:szCs w:val="24"/>
      <w:lang w:eastAsia="de-DE"/>
    </w:rPr>
  </w:style>
  <w:style w:type="paragraph" w:styleId="TabelleBA" w:customStyle="1">
    <w:name w:val="Tabelle_BA"/>
    <w:qFormat/>
    <w:rsid w:val="00fc51a0"/>
    <w:pPr>
      <w:widowControl/>
      <w:bidi w:val="0"/>
      <w:snapToGrid w:val="false"/>
      <w:spacing w:lineRule="atLeast" w:line="260" w:before="0" w:after="0"/>
      <w:jc w:val="center"/>
    </w:pPr>
    <w:rPr>
      <w:rFonts w:ascii="Times New Roman" w:hAnsi="Times New Roman" w:eastAsia="Times New Roman" w:cs="Times New Roman"/>
      <w:color w:val="000000"/>
      <w:kern w:val="0"/>
      <w:sz w:val="22"/>
      <w:szCs w:val="20"/>
      <w:lang w:val="en-US" w:eastAsia="de-DE" w:bidi="en-US"/>
    </w:rPr>
  </w:style>
  <w:style w:type="paragraph" w:styleId="Funote">
    <w:name w:val="Footnote Text"/>
    <w:basedOn w:val="Normal"/>
    <w:link w:val="FunotentextZchn"/>
    <w:uiPriority w:val="99"/>
    <w:semiHidden/>
    <w:unhideWhenUsed/>
    <w:rsid w:val="00ad789f"/>
    <w:pPr>
      <w:spacing w:lineRule="auto" w:line="240" w:before="0" w:after="0"/>
    </w:pPr>
    <w:rPr>
      <w:sz w:val="20"/>
      <w:szCs w:val="20"/>
    </w:rPr>
  </w:style>
  <w:style w:type="paragraph" w:styleId="Filename" w:customStyle="1">
    <w:name w:val="Filename"/>
    <w:basedOn w:val="Normal"/>
    <w:link w:val="FilenameZchn"/>
    <w:qFormat/>
    <w:rsid w:val="00680b43"/>
    <w:pPr/>
    <w:rPr>
      <w:rFonts w:ascii="Courier New" w:hAnsi="Courier New" w:cs="Courier New"/>
    </w:rPr>
  </w:style>
  <w:style w:type="paragraph" w:styleId="PlainText">
    <w:name w:val="Plain Text"/>
    <w:basedOn w:val="Normal"/>
    <w:link w:val="NurTextZchn"/>
    <w:uiPriority w:val="99"/>
    <w:unhideWhenUsed/>
    <w:qFormat/>
    <w:rsid w:val="00c46250"/>
    <w:pPr>
      <w:spacing w:lineRule="auto" w:line="240" w:before="0" w:after="0"/>
      <w:jc w:val="left"/>
    </w:pPr>
    <w:rPr>
      <w:rFonts w:ascii="Consolas" w:hAnsi="Consolas"/>
      <w:sz w:val="21"/>
      <w:szCs w:val="21"/>
    </w:rPr>
  </w:style>
  <w:style w:type="paragraph" w:styleId="Termcommand" w:customStyle="1">
    <w:name w:val="term_command"/>
    <w:basedOn w:val="Normal"/>
    <w:link w:val="termcommandZchn"/>
    <w:qFormat/>
    <w:rsid w:val="00507a7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nsolas" w:hAnsi="Consolas" w:eastAsia="Times New Roman" w:cs="Courier New"/>
      <w:color w:val="24292E"/>
      <w:lang w:eastAsia="de-D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9967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infacheTabelle2">
    <w:name w:val="Plain Table 2"/>
    <w:basedOn w:val="NormaleTabelle"/>
    <w:uiPriority w:val="42"/>
    <w:rsid w:val="00996708"/>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Listentabelle7farbig">
    <w:name w:val="List Table 7 Colorful"/>
    <w:basedOn w:val="NormaleTabelle"/>
    <w:uiPriority w:val="52"/>
    <w:rsid w:val="008d6659"/>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1hellAkzent3">
    <w:name w:val="List Table 1 Light Accent 3"/>
    <w:basedOn w:val="NormaleTabelle"/>
    <w:uiPriority w:val="46"/>
    <w:rsid w:val="008d6659"/>
    <w:pPr>
      <w:spacing w:after="0" w:line="240" w:lineRule="auto"/>
    </w:pPr>
    <w:tblPr>
      <w:tblStyleRowBandSize w:val="1"/>
      <w:tblStyleColBandSize w:val="1"/>
    </w:tblPr>
    <w:tblStylePr w:type="firstRow">
      <w:rPr>
        <w:b/>
        <w:bCs/>
      </w:rPr>
      <w:tblPr/>
      <w:tcPr>
        <w:tcBorders>
          <w:bottom w:val="single" w:color="C9C9C9" w:themeColor="accent3" w:sz="4" w:space="0"/>
        </w:tcBorders>
      </w:tcPr>
    </w:tblStylePr>
    <w:tblStylePr w:type="lastRow">
      <w:rPr>
        <w:b/>
        <w:bCs/>
      </w:rPr>
      <w:tblPr/>
      <w:tcPr>
        <w:tcBorders>
          <w:top w:val="sing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
    <w:name w:val="List Table 6 Colorful"/>
    <w:basedOn w:val="NormaleTabelle"/>
    <w:uiPriority w:val="51"/>
    <w:rsid w:val="008d6659"/>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
    <w:name w:val="List Table 1 Light"/>
    <w:basedOn w:val="NormaleTabelle"/>
    <w:uiPriority w:val="46"/>
    <w:rsid w:val="008d6659"/>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png"/><Relationship Id="rId16" Type="http://schemas.openxmlformats.org/officeDocument/2006/relationships/oleObject" Target="embeddings/oleObject1.bin"/><Relationship Id="rId17" Type="http://schemas.openxmlformats.org/officeDocument/2006/relationships/image" Target="media/image13.emf"/><Relationship Id="rId18" Type="http://schemas.openxmlformats.org/officeDocument/2006/relationships/image" Target="media/image14.wmf"/><Relationship Id="rId19" Type="http://schemas.openxmlformats.org/officeDocument/2006/relationships/package" Target="embeddings/oleObject2.xlsx"/><Relationship Id="rId20" Type="http://schemas.openxmlformats.org/officeDocument/2006/relationships/image" Target="media/image15.emf"/><Relationship Id="rId21" Type="http://schemas.openxmlformats.org/officeDocument/2006/relationships/oleObject" Target="embeddings/oleObject3.bin"/><Relationship Id="rId22" Type="http://schemas.openxmlformats.org/officeDocument/2006/relationships/image" Target="media/image16.emf"/><Relationship Id="rId23" Type="http://schemas.openxmlformats.org/officeDocument/2006/relationships/hyperlink" Target="../../../../../../../../C:/Users/Manuel%20Dorer/Desktop/BA_win/schreiben/einleitung/einleitung_paper/ML_paper_generell.pdf" TargetMode="External"/><Relationship Id="rId24" Type="http://schemas.openxmlformats.org/officeDocument/2006/relationships/hyperlink" Target="https://machinelearningmastery.com/what-is-deep-learning/" TargetMode="External"/><Relationship Id="rId25" Type="http://schemas.openxmlformats.org/officeDocument/2006/relationships/hyperlink" Target="https://arxiv.org/pdf/2101.01907.pdf" TargetMode="External"/><Relationship Id="rId26" Type="http://schemas.openxmlformats.org/officeDocument/2006/relationships/hyperlink" Target="https://pubmed.ncbi.nlm.nih.gov/19881490/" TargetMode="External"/><Relationship Id="rId27" Type="http://schemas.openxmlformats.org/officeDocument/2006/relationships/header" Target="header2.xml"/><Relationship Id="rId28" Type="http://schemas.openxmlformats.org/officeDocument/2006/relationships/footer" Target="footer2.xml"/><Relationship Id="rId29" Type="http://schemas.openxmlformats.org/officeDocument/2006/relationships/footnotes" Target="footnotes.xml"/><Relationship Id="rId30" Type="http://schemas.openxmlformats.org/officeDocument/2006/relationships/comments" Target="comments.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Relationship Id="rId36" Type="http://schemas.openxmlformats.org/officeDocument/2006/relationships/customXml" Target="../customXml/item2.xml"/><Relationship Id="rId37" Type="http://schemas.openxmlformats.org/officeDocument/2006/relationships/customXml" Target="../customXml/item3.xml"/><Relationship Id="rId38"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D244059ACE46FE4BAE4E03F3031AC4BB" ma:contentTypeVersion="2" ma:contentTypeDescription="Ein neues Dokument erstellen." ma:contentTypeScope="" ma:versionID="6d063f568287ad50dbf8a6c62c62adaf">
  <xsd:schema xmlns:xsd="http://www.w3.org/2001/XMLSchema" xmlns:xs="http://www.w3.org/2001/XMLSchema" xmlns:p="http://schemas.microsoft.com/office/2006/metadata/properties" xmlns:ns3="7bce6755-6f2b-4a9a-939f-d5ced74f8d76" targetNamespace="http://schemas.microsoft.com/office/2006/metadata/properties" ma:root="true" ma:fieldsID="b897ea0ee5dad1c7e931b484e700080b" ns3:_="">
    <xsd:import namespace="7bce6755-6f2b-4a9a-939f-d5ced74f8d7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ce6755-6f2b-4a9a-939f-d5ced74f8d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XSL" StyleName="ISO 690 - First Element and Date" Version="1987">
  <b:Source>
    <b:Tag>Placeholder1</b:Tag>
    <b:RefOrder>2</b:RefOrder>
  </b:Source>
  <b:Source>
    <b:Tag>www</b:Tag>
    <b:SourceType>InternetSite</b:SourceType>
    <b:Guid>{49D6CB31-10CD-405D-AAC7-8C54E18FA439}</b:Guid>
    <b:URL>www.biologyonline.com/dictionary/denaturation</b:URL>
    <b:RefOrder>1</b:RefOrder>
  </b:Source>
</b:Sources>
</file>

<file path=customXml/itemProps1.xml><?xml version="1.0" encoding="utf-8"?>
<ds:datastoreItem xmlns:ds="http://schemas.openxmlformats.org/officeDocument/2006/customXml" ds:itemID="{B5F7104E-0A18-49E4-811F-CBC174A301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0C2A56-3BB9-453B-ADC5-509D055D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ce6755-6f2b-4a9a-939f-d5ced74f8d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173A02-98AD-4DEC-954E-F4F4A52B16AC}">
  <ds:schemaRefs>
    <ds:schemaRef ds:uri="http://schemas.microsoft.com/sharepoint/v3/contenttype/forms"/>
  </ds:schemaRefs>
</ds:datastoreItem>
</file>

<file path=customXml/itemProps4.xml><?xml version="1.0" encoding="utf-8"?>
<ds:datastoreItem xmlns:ds="http://schemas.openxmlformats.org/officeDocument/2006/customXml" ds:itemID="{A8A2B23A-4B6E-4442-885F-B5388F8E6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Application>LibreOffice/6.0.7.3$Linux_X86_64 LibreOffice_project/00m0$Build-3</Application>
  <Pages>44</Pages>
  <Words>9101</Words>
  <Characters>57740</Characters>
  <CharactersWithSpaces>66818</CharactersWithSpaces>
  <Paragraphs>489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2021-03-18T16:39:00Z</dcterms:created>
  <dc:creator>Manuel Dorer</dc:creator>
  <dc:description/>
  <dc:language>de-DE</dc:language>
  <cp:lastModifiedBy/>
  <cp:lastPrinted>2021-03-18T16:37:00Z</cp:lastPrinted>
  <dcterms:modified xsi:type="dcterms:W3CDTF">2021-03-19T17:46:43Z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0x010100D244059ACE46FE4BAE4E03F3031AC4BB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http://www.zotero.org/styles/ieee</vt:lpwstr>
  </property>
  <property fmtid="{D5CDD505-2E9C-101B-9397-08002B2CF9AE}" pid="8" name="Mendeley Document_1">
    <vt:lpwstr>True</vt:lpwstr>
  </property>
  <property fmtid="{D5CDD505-2E9C-101B-9397-08002B2CF9AE}" pid="9" name="Mendeley Recent Style Id 0_1">
    <vt:lpwstr>http://www.zotero.org/styles/american-medical-association</vt:lpwstr>
  </property>
  <property fmtid="{D5CDD505-2E9C-101B-9397-08002B2CF9AE}" pid="10" name="Mendeley Recent Style Id 1_1">
    <vt:lpwstr>http://www.zotero.org/styles/american-political-science-association</vt:lpwstr>
  </property>
  <property fmtid="{D5CDD505-2E9C-101B-9397-08002B2CF9AE}" pid="11" name="Mendeley Recent Style Id 2_1">
    <vt:lpwstr>http://www.zotero.org/styles/apa</vt:lpwstr>
  </property>
  <property fmtid="{D5CDD505-2E9C-101B-9397-08002B2CF9AE}" pid="12" name="Mendeley Recent Style Id 3_1">
    <vt:lpwstr>https://csl.mendeley.com/styles/570859421/apa-5</vt:lpwstr>
  </property>
  <property fmtid="{D5CDD505-2E9C-101B-9397-08002B2CF9AE}" pid="13" name="Mendeley Recent Style Id 4_1">
    <vt:lpwstr>http://www.zotero.org/styles/american-sociological-association</vt:lpwstr>
  </property>
  <property fmtid="{D5CDD505-2E9C-101B-9397-08002B2CF9AE}" pid="14" name="Mendeley Recent Style Id 5_1">
    <vt:lpwstr>http://www.zotero.org/styles/chicago-author-date</vt:lpwstr>
  </property>
  <property fmtid="{D5CDD505-2E9C-101B-9397-08002B2CF9AE}" pid="15" name="Mendeley Recent Style Id 6_1">
    <vt:lpwstr>http://www.zotero.org/styles/harvard-cite-them-right</vt:lpwstr>
  </property>
  <property fmtid="{D5CDD505-2E9C-101B-9397-08002B2CF9AE}" pid="16" name="Mendeley Recent Style Id 7_1">
    <vt:lpwstr>http://www.zotero.org/styles/ieee</vt:lpwstr>
  </property>
  <property fmtid="{D5CDD505-2E9C-101B-9397-08002B2CF9AE}" pid="17" name="Mendeley Recent Style Id 8_1">
    <vt:lpwstr>http://www.zotero.org/styles/modern-humanities-research-association</vt:lpwstr>
  </property>
  <property fmtid="{D5CDD505-2E9C-101B-9397-08002B2CF9AE}" pid="18" name="Mendeley Recent Style Id 9_1">
    <vt:lpwstr>http://www.zotero.org/styles/modern-language-association</vt:lpwstr>
  </property>
  <property fmtid="{D5CDD505-2E9C-101B-9397-08002B2CF9AE}" pid="19" name="Mendeley Recent Style Name 0_1">
    <vt:lpwstr>American Medical Association 11th edition</vt:lpwstr>
  </property>
  <property fmtid="{D5CDD505-2E9C-101B-9397-08002B2CF9AE}" pid="20" name="Mendeley Recent Style Name 1_1">
    <vt:lpwstr>American Political Science Association</vt:lpwstr>
  </property>
  <property fmtid="{D5CDD505-2E9C-101B-9397-08002B2CF9AE}" pid="21" name="Mendeley Recent Style Name 2_1">
    <vt:lpwstr>American Psychological Association 7th edition</vt:lpwstr>
  </property>
  <property fmtid="{D5CDD505-2E9C-101B-9397-08002B2CF9AE}" pid="22" name="Mendeley Recent Style Name 3_1">
    <vt:lpwstr>American Psychological Association 7th edition - URL</vt:lpwstr>
  </property>
  <property fmtid="{D5CDD505-2E9C-101B-9397-08002B2CF9AE}" pid="23" name="Mendeley Recent Style Name 4_1">
    <vt:lpwstr>American Sociological Association 6th edition</vt:lpwstr>
  </property>
  <property fmtid="{D5CDD505-2E9C-101B-9397-08002B2CF9AE}" pid="24" name="Mendeley Recent Style Name 5_1">
    <vt:lpwstr>Chicago Manual of Style 17th edition (author-date)</vt:lpwstr>
  </property>
  <property fmtid="{D5CDD505-2E9C-101B-9397-08002B2CF9AE}" pid="25" name="Mendeley Recent Style Name 6_1">
    <vt:lpwstr>Cite Them Right 10th edition - Harvard</vt:lpwstr>
  </property>
  <property fmtid="{D5CDD505-2E9C-101B-9397-08002B2CF9AE}" pid="26" name="Mendeley Recent Style Name 7_1">
    <vt:lpwstr>IEEE</vt:lpwstr>
  </property>
  <property fmtid="{D5CDD505-2E9C-101B-9397-08002B2CF9AE}" pid="27" name="Mendeley Recent Style Name 8_1">
    <vt:lpwstr>Modern Humanities Research Association 3rd edition (note with bibliography)</vt:lpwstr>
  </property>
  <property fmtid="{D5CDD505-2E9C-101B-9397-08002B2CF9AE}" pid="28" name="Mendeley Recent Style Name 9_1">
    <vt:lpwstr>Modern Language Association 8th edition</vt:lpwstr>
  </property>
  <property fmtid="{D5CDD505-2E9C-101B-9397-08002B2CF9AE}" pid="29" name="Mendeley Unique User Id_1">
    <vt:lpwstr>258ccc57-aa21-3182-a434-4ff4cde473f9</vt:lpwstr>
  </property>
  <property fmtid="{D5CDD505-2E9C-101B-9397-08002B2CF9AE}" pid="30" name="ScaleCrop">
    <vt:bool>0</vt:bool>
  </property>
  <property fmtid="{D5CDD505-2E9C-101B-9397-08002B2CF9AE}" pid="31" name="ShareDoc">
    <vt:bool>0</vt:bool>
  </property>
</Properties>
</file>