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93BA8" w14:textId="77777777" w:rsidR="006A2C67" w:rsidRDefault="006A2C67" w:rsidP="006A2C67">
      <w:pPr>
        <w:spacing w:line="360" w:lineRule="auto"/>
        <w:rPr>
          <w:b/>
          <w:bCs/>
        </w:rPr>
      </w:pPr>
      <w:r w:rsidRPr="00EA70FF">
        <w:rPr>
          <w:b/>
          <w:bCs/>
        </w:rPr>
        <w:t>Generating genomic data sets</w:t>
      </w:r>
    </w:p>
    <w:p w14:paraId="61B28155" w14:textId="77777777" w:rsidR="006A2C67" w:rsidRDefault="006A2C67" w:rsidP="006A2C67">
      <w:pPr>
        <w:spacing w:line="360" w:lineRule="auto"/>
        <w:rPr>
          <w:b/>
          <w:bCs/>
        </w:rPr>
      </w:pPr>
      <w:r w:rsidRPr="00EA70FF">
        <w:rPr>
          <w:b/>
          <w:bCs/>
        </w:rPr>
        <w:t>De novo assembl</w:t>
      </w:r>
      <w:r>
        <w:rPr>
          <w:b/>
          <w:bCs/>
        </w:rPr>
        <w:t>y</w:t>
      </w:r>
    </w:p>
    <w:p w14:paraId="181889E6" w14:textId="77777777" w:rsidR="006A2C67" w:rsidRDefault="006A2C67" w:rsidP="006A2C67">
      <w:pPr>
        <w:spacing w:line="360" w:lineRule="auto"/>
        <w:ind w:firstLine="720"/>
      </w:pPr>
      <w:r>
        <w:t xml:space="preserve">After demultiplexing we trimmed reads to the same 85 base pairs length using </w:t>
      </w:r>
      <w:proofErr w:type="spellStart"/>
      <w:r>
        <w:t>trimmomatic</w:t>
      </w:r>
      <w:proofErr w:type="spellEnd"/>
      <w:r>
        <w:t xml:space="preserve"> (</w:t>
      </w:r>
      <w:r w:rsidRPr="005C2759">
        <w:rPr>
          <w:highlight w:val="darkGray"/>
        </w:rPr>
        <w:t>Bolger et al., 2014</w:t>
      </w:r>
      <w:r>
        <w:t xml:space="preserve">). </w:t>
      </w:r>
      <w:r w:rsidRPr="00E5769A">
        <w:t xml:space="preserve">To identify the optimal parameters for assembling loci </w:t>
      </w:r>
      <w:r>
        <w:t xml:space="preserve">de novo </w:t>
      </w:r>
      <w:r w:rsidRPr="00E5769A">
        <w:t xml:space="preserve">in </w:t>
      </w:r>
      <w:r>
        <w:t>STACKS</w:t>
      </w:r>
      <w:r w:rsidRPr="00E5769A">
        <w:t xml:space="preserve">, we followed the parameter-testing pipeline established by </w:t>
      </w:r>
      <w:r w:rsidRPr="00D8353F">
        <w:rPr>
          <w:highlight w:val="darkGray"/>
        </w:rPr>
        <w:t xml:space="preserve">Rochette and </w:t>
      </w:r>
      <w:proofErr w:type="spellStart"/>
      <w:r w:rsidRPr="00D8353F">
        <w:rPr>
          <w:highlight w:val="darkGray"/>
        </w:rPr>
        <w:t>Catchen</w:t>
      </w:r>
      <w:proofErr w:type="spellEnd"/>
      <w:r w:rsidRPr="00D8353F">
        <w:rPr>
          <w:highlight w:val="darkGray"/>
        </w:rPr>
        <w:t xml:space="preserve"> (2017) and Paris et al. (2017).</w:t>
      </w:r>
      <w:r>
        <w:t xml:space="preserve"> We ran the STACKS multiple times </w:t>
      </w:r>
      <w:r w:rsidRPr="00E5769A">
        <w:t>varying the param</w:t>
      </w:r>
      <w:r>
        <w:t>e</w:t>
      </w:r>
      <w:r w:rsidRPr="00E5769A">
        <w:t xml:space="preserve">ters on each </w:t>
      </w:r>
      <w:r>
        <w:t>step</w:t>
      </w:r>
      <w:r w:rsidRPr="00E5769A">
        <w:t xml:space="preserve">. We </w:t>
      </w:r>
      <w:r>
        <w:t>ranged</w:t>
      </w:r>
      <w:r w:rsidRPr="00E5769A">
        <w:t xml:space="preserve"> the </w:t>
      </w:r>
      <w:r>
        <w:t>‘</w:t>
      </w:r>
      <w:r w:rsidRPr="00711C7E">
        <w:rPr>
          <w:i/>
          <w:iCs/>
        </w:rPr>
        <w:t>m’</w:t>
      </w:r>
      <w:r>
        <w:t xml:space="preserve"> parameter from 3 to 10 (m3 – m10), the </w:t>
      </w:r>
      <w:r w:rsidRPr="00E5769A">
        <w:t>‘</w:t>
      </w:r>
      <w:r w:rsidRPr="00711C7E">
        <w:rPr>
          <w:i/>
          <w:iCs/>
        </w:rPr>
        <w:t>M’</w:t>
      </w:r>
      <w:r w:rsidRPr="00E5769A">
        <w:t xml:space="preserve"> parameter from </w:t>
      </w:r>
      <w:r>
        <w:t>3</w:t>
      </w:r>
      <w:r w:rsidRPr="00E5769A">
        <w:t xml:space="preserve"> to </w:t>
      </w:r>
      <w:r>
        <w:t>5</w:t>
      </w:r>
      <w:r w:rsidRPr="00E5769A">
        <w:t xml:space="preserve"> (M</w:t>
      </w:r>
      <w:r>
        <w:t>3</w:t>
      </w:r>
      <w:r w:rsidRPr="00E5769A">
        <w:t>–M</w:t>
      </w:r>
      <w:r>
        <w:t>5</w:t>
      </w:r>
      <w:r w:rsidRPr="00E5769A">
        <w:t>)</w:t>
      </w:r>
      <w:r>
        <w:t xml:space="preserve">, </w:t>
      </w:r>
      <w:r w:rsidRPr="00E5769A">
        <w:t>the ‘</w:t>
      </w:r>
      <w:r w:rsidRPr="00711C7E">
        <w:rPr>
          <w:i/>
          <w:iCs/>
        </w:rPr>
        <w:t>n</w:t>
      </w:r>
      <w:r>
        <w:t>’</w:t>
      </w:r>
      <w:r>
        <w:rPr>
          <w:i/>
          <w:iCs/>
        </w:rPr>
        <w:t xml:space="preserve"> </w:t>
      </w:r>
      <w:r w:rsidRPr="00711C7E">
        <w:t>parameter</w:t>
      </w:r>
      <w:r w:rsidRPr="00E5769A">
        <w:t xml:space="preserve"> from 2 to 7 (n2–n7)</w:t>
      </w:r>
      <w:r>
        <w:t xml:space="preserve"> </w:t>
      </w:r>
      <w:r w:rsidRPr="00E5769A">
        <w:t>and ‘</w:t>
      </w:r>
      <w:r w:rsidRPr="00711C7E">
        <w:rPr>
          <w:i/>
          <w:iCs/>
        </w:rPr>
        <w:t>r</w:t>
      </w:r>
      <w:r w:rsidRPr="00E5769A">
        <w:t xml:space="preserve">’ </w:t>
      </w:r>
      <w:r>
        <w:t>was kept constant at</w:t>
      </w:r>
      <w:r w:rsidRPr="00E5769A">
        <w:t xml:space="preserve"> 0.80, with the rest of the parameters on default setting. ‘</w:t>
      </w:r>
      <w:r w:rsidRPr="00711C7E">
        <w:rPr>
          <w:i/>
          <w:iCs/>
        </w:rPr>
        <w:t>r</w:t>
      </w:r>
      <w:r w:rsidRPr="00E5769A">
        <w:t>’ = 0.80 signifies that a locus must be present in a minimum of 80% of individuals.</w:t>
      </w:r>
      <w:r>
        <w:t xml:space="preserve"> </w:t>
      </w:r>
    </w:p>
    <w:p w14:paraId="766353C2" w14:textId="7FB7EC4F" w:rsidR="006A2C67" w:rsidRDefault="006A2C67" w:rsidP="006B6A4F">
      <w:pPr>
        <w:spacing w:line="360" w:lineRule="auto"/>
        <w:ind w:firstLine="720"/>
      </w:pPr>
      <w:r>
        <w:t>To e</w:t>
      </w:r>
      <w:r w:rsidRPr="00F8315C">
        <w:t>xamin</w:t>
      </w:r>
      <w:r>
        <w:t>e the output</w:t>
      </w:r>
      <w:r w:rsidRPr="00F8315C">
        <w:t xml:space="preserve"> </w:t>
      </w:r>
      <w:r>
        <w:t xml:space="preserve">from each de novo assembly run, we used </w:t>
      </w:r>
      <w:proofErr w:type="spellStart"/>
      <w:r>
        <w:t>vcftools</w:t>
      </w:r>
      <w:proofErr w:type="spellEnd"/>
      <w:r>
        <w:t xml:space="preserve"> to create statistics for each run (</w:t>
      </w:r>
      <w:proofErr w:type="spellStart"/>
      <w:r w:rsidRPr="00D8353F">
        <w:rPr>
          <w:highlight w:val="darkGray"/>
        </w:rPr>
        <w:t>Danecek</w:t>
      </w:r>
      <w:proofErr w:type="spellEnd"/>
      <w:r w:rsidRPr="00D8353F">
        <w:rPr>
          <w:highlight w:val="darkGray"/>
        </w:rPr>
        <w:t xml:space="preserve"> et al., 2011</w:t>
      </w:r>
      <w:r>
        <w:t>). These statistics were generated and examined to select the optimal parameters for our data set. The statistics used were v</w:t>
      </w:r>
      <w:r w:rsidRPr="00F8315C">
        <w:t>ariant quality</w:t>
      </w:r>
      <w:r>
        <w:t>, v</w:t>
      </w:r>
      <w:r w:rsidRPr="00F8315C">
        <w:t>ariant mean depth</w:t>
      </w:r>
      <w:r>
        <w:t>, v</w:t>
      </w:r>
      <w:r w:rsidRPr="00F8315C">
        <w:t>ariant missingness</w:t>
      </w:r>
      <w:r>
        <w:t>, m</w:t>
      </w:r>
      <w:r w:rsidRPr="00F8315C">
        <w:t>inor allele frequency</w:t>
      </w:r>
      <w:r>
        <w:t xml:space="preserve"> and were then observed </w:t>
      </w:r>
      <w:r w:rsidRPr="00F8315C">
        <w:t>in R</w:t>
      </w:r>
      <w:r>
        <w:t>.</w:t>
      </w:r>
      <w:r w:rsidRPr="00F8315C">
        <w:t xml:space="preserve"> </w:t>
      </w:r>
      <w:r w:rsidRPr="00711C7E">
        <w:t xml:space="preserve">The results generated very similar </w:t>
      </w:r>
      <w:r w:rsidR="00403CD5">
        <w:t>outputs</w:t>
      </w:r>
      <w:r>
        <w:t xml:space="preserve"> and we chose the parameter combination -</w:t>
      </w:r>
      <w:r w:rsidRPr="00711C7E">
        <w:rPr>
          <w:i/>
          <w:iCs/>
        </w:rPr>
        <w:t>m</w:t>
      </w:r>
      <w:r>
        <w:t xml:space="preserve"> 5 -</w:t>
      </w:r>
      <w:r w:rsidRPr="00711C7E">
        <w:rPr>
          <w:i/>
          <w:iCs/>
        </w:rPr>
        <w:t>M</w:t>
      </w:r>
      <w:r>
        <w:t xml:space="preserve"> 3 -</w:t>
      </w:r>
      <w:r w:rsidRPr="00711C7E">
        <w:rPr>
          <w:i/>
          <w:iCs/>
        </w:rPr>
        <w:t xml:space="preserve">n </w:t>
      </w:r>
      <w:r>
        <w:t>3 for the. After parameter</w:t>
      </w:r>
      <w:r w:rsidR="00403CD5">
        <w:t xml:space="preserve"> selection</w:t>
      </w:r>
      <w:r>
        <w:t xml:space="preserve">, we used </w:t>
      </w:r>
      <w:proofErr w:type="spellStart"/>
      <w:r>
        <w:t>SNPfiltR</w:t>
      </w:r>
      <w:proofErr w:type="spellEnd"/>
      <w:r>
        <w:t xml:space="preserve"> to </w:t>
      </w:r>
      <w:r w:rsidRPr="003D5542">
        <w:t xml:space="preserve">streamline and automate the process of choosing appropriate filtering parameters </w:t>
      </w:r>
      <w:r>
        <w:t>for our</w:t>
      </w:r>
      <w:r w:rsidRPr="003D5542">
        <w:t xml:space="preserve"> dataset</w:t>
      </w:r>
      <w:r w:rsidR="00403CD5">
        <w:t xml:space="preserve"> </w:t>
      </w:r>
      <w:r>
        <w:t>(</w:t>
      </w:r>
      <w:proofErr w:type="spellStart"/>
      <w:r w:rsidRPr="00D8353F">
        <w:rPr>
          <w:highlight w:val="darkGray"/>
        </w:rPr>
        <w:t>DeRaad</w:t>
      </w:r>
      <w:proofErr w:type="spellEnd"/>
      <w:r w:rsidRPr="00D8353F">
        <w:rPr>
          <w:highlight w:val="darkGray"/>
        </w:rPr>
        <w:t xml:space="preserve">, 2022; </w:t>
      </w:r>
      <w:proofErr w:type="spellStart"/>
      <w:r w:rsidRPr="00D8353F">
        <w:rPr>
          <w:highlight w:val="darkGray"/>
        </w:rPr>
        <w:t>Knaus</w:t>
      </w:r>
      <w:proofErr w:type="spellEnd"/>
      <w:r w:rsidRPr="00D8353F">
        <w:rPr>
          <w:highlight w:val="darkGray"/>
        </w:rPr>
        <w:t xml:space="preserve"> and Grunwald, 2017</w:t>
      </w:r>
      <w:r>
        <w:t>). Briefly, we filtered for genotype depth and quality, allele balance, maximum depth, and missing data per sample and per SNP</w:t>
      </w:r>
      <w:r w:rsidR="006E3B87">
        <w:t>.</w:t>
      </w:r>
      <w:r>
        <w:t xml:space="preserve"> </w:t>
      </w:r>
      <w:r w:rsidR="001C20CC">
        <w:t xml:space="preserve">Two </w:t>
      </w:r>
      <w:r w:rsidR="006E3B87">
        <w:t xml:space="preserve">different datasets were used </w:t>
      </w:r>
      <w:r w:rsidR="001C20CC">
        <w:t>to</w:t>
      </w:r>
      <w:r w:rsidR="006E3B87">
        <w:t xml:space="preserve"> included</w:t>
      </w:r>
      <w:r w:rsidR="001C20CC">
        <w:t xml:space="preserve"> </w:t>
      </w:r>
      <w:r w:rsidR="006E3B87">
        <w:t xml:space="preserve">different samples for different purposes. </w:t>
      </w:r>
      <w:r w:rsidR="006B6A4F">
        <w:t>Lists of samples and f</w:t>
      </w:r>
      <w:r w:rsidR="006B6A4F" w:rsidRPr="003D5542">
        <w:t>ull</w:t>
      </w:r>
      <w:r w:rsidR="006B6A4F">
        <w:t xml:space="preserve"> parameter optimization and filtering</w:t>
      </w:r>
      <w:r w:rsidR="006B6A4F" w:rsidRPr="003D5542">
        <w:t xml:space="preserve"> details are available in </w:t>
      </w:r>
      <w:r w:rsidR="006B6A4F">
        <w:t>s</w:t>
      </w:r>
      <w:r w:rsidR="006B6A4F" w:rsidRPr="003D5542">
        <w:t xml:space="preserve">upplementary </w:t>
      </w:r>
      <w:r w:rsidR="006B6A4F">
        <w:t>m</w:t>
      </w:r>
      <w:r w:rsidR="006B6A4F" w:rsidRPr="003D5542">
        <w:t xml:space="preserve">ethods </w:t>
      </w:r>
      <w:r w:rsidR="006B6A4F">
        <w:t>for each data set (</w:t>
      </w:r>
      <w:r w:rsidR="006B6A4F" w:rsidRPr="008E5C2A">
        <w:rPr>
          <w:highlight w:val="darkCyan"/>
        </w:rPr>
        <w:t xml:space="preserve">organize sample list and link </w:t>
      </w:r>
      <w:r w:rsidR="006B6A4F" w:rsidRPr="00B31D65">
        <w:rPr>
          <w:highlight w:val="darkCyan"/>
        </w:rPr>
        <w:t>to R code and visualizations detailing filtering pipeline</w:t>
      </w:r>
      <w:r w:rsidR="006B6A4F">
        <w:t>).</w:t>
      </w:r>
    </w:p>
    <w:p w14:paraId="7C99DF8F" w14:textId="77777777" w:rsidR="00455786" w:rsidRDefault="00455786" w:rsidP="006B6A4F">
      <w:pPr>
        <w:spacing w:line="360" w:lineRule="auto"/>
        <w:ind w:firstLine="720"/>
      </w:pPr>
    </w:p>
    <w:p w14:paraId="10C92275" w14:textId="77777777" w:rsidR="00455786" w:rsidRPr="006E2F58" w:rsidRDefault="00455786" w:rsidP="00455786">
      <w:pPr>
        <w:spacing w:line="360" w:lineRule="auto"/>
        <w:rPr>
          <w:rFonts w:ascii="Cambria" w:hAnsi="Cambria"/>
          <w:b/>
          <w:bCs/>
          <w:color w:val="212121"/>
          <w:sz w:val="30"/>
          <w:szCs w:val="30"/>
          <w:shd w:val="clear" w:color="auto" w:fill="FFFFFF"/>
        </w:rPr>
      </w:pPr>
      <w:r w:rsidRPr="006E2F58">
        <w:rPr>
          <w:b/>
          <w:bCs/>
        </w:rPr>
        <w:t>Phylogenetic analysis</w:t>
      </w:r>
    </w:p>
    <w:p w14:paraId="1CFAF461" w14:textId="764E1291" w:rsidR="001C20CC" w:rsidRDefault="00455786" w:rsidP="00455786">
      <w:pPr>
        <w:spacing w:line="360" w:lineRule="auto"/>
        <w:ind w:firstLine="720"/>
      </w:pPr>
      <w:r>
        <w:t>We</w:t>
      </w:r>
      <w:r w:rsidRPr="001B592C">
        <w:t xml:space="preserve"> constructed a maximum likelihood (ML) tree with IQ-TREE 2.2.0 (Minh et al. 2020) and used </w:t>
      </w:r>
      <w:proofErr w:type="spellStart"/>
      <w:r w:rsidRPr="001B592C">
        <w:t>ModelFinder</w:t>
      </w:r>
      <w:proofErr w:type="spellEnd"/>
      <w:r w:rsidRPr="001B592C">
        <w:t xml:space="preserve"> (</w:t>
      </w:r>
      <w:proofErr w:type="spellStart"/>
      <w:r w:rsidRPr="00D8353F">
        <w:rPr>
          <w:highlight w:val="darkGray"/>
        </w:rPr>
        <w:t>Kalyaanamoorthy</w:t>
      </w:r>
      <w:proofErr w:type="spellEnd"/>
      <w:r w:rsidRPr="00D8353F">
        <w:rPr>
          <w:highlight w:val="darkGray"/>
        </w:rPr>
        <w:t xml:space="preserve"> et al. 2017</w:t>
      </w:r>
      <w:r w:rsidRPr="001B592C">
        <w:t>) to select a model for Akaike Information Criterion (AIC). Branch support was evaluated with 1000 ultrafast bootstrap (</w:t>
      </w:r>
      <w:proofErr w:type="spellStart"/>
      <w:r w:rsidRPr="001B592C">
        <w:t>UFBoot</w:t>
      </w:r>
      <w:proofErr w:type="spellEnd"/>
      <w:r w:rsidRPr="001B592C">
        <w:t>) (</w:t>
      </w:r>
      <w:r w:rsidRPr="00D8353F">
        <w:rPr>
          <w:highlight w:val="darkGray"/>
        </w:rPr>
        <w:t>Hoang et al. 2018</w:t>
      </w:r>
      <w:r w:rsidRPr="001B592C">
        <w:t xml:space="preserve">) and 1000 </w:t>
      </w:r>
      <w:proofErr w:type="spellStart"/>
      <w:r w:rsidRPr="001B592C">
        <w:t>Shimodaira</w:t>
      </w:r>
      <w:proofErr w:type="spellEnd"/>
      <w:r w:rsidRPr="001B592C">
        <w:t>–Hasegawa approximate likelihood ratio test (SH-</w:t>
      </w:r>
      <w:proofErr w:type="spellStart"/>
      <w:r w:rsidRPr="001B592C">
        <w:t>aLRT</w:t>
      </w:r>
      <w:proofErr w:type="spellEnd"/>
      <w:r w:rsidRPr="001B592C">
        <w:t>) (</w:t>
      </w:r>
      <w:r w:rsidRPr="00D8353F">
        <w:rPr>
          <w:highlight w:val="darkGray"/>
        </w:rPr>
        <w:t>Guindon et al. 2010</w:t>
      </w:r>
      <w:r w:rsidRPr="001B592C">
        <w:t>) replications. We report the selected model and branch support values</w:t>
      </w:r>
      <w:r>
        <w:t xml:space="preserve"> in the results section</w:t>
      </w:r>
      <w:r w:rsidRPr="001B592C">
        <w:t>.</w:t>
      </w:r>
    </w:p>
    <w:p w14:paraId="0F74C627" w14:textId="77777777" w:rsidR="00455786" w:rsidRPr="00455786" w:rsidRDefault="00455786" w:rsidP="00455786">
      <w:pPr>
        <w:spacing w:line="360" w:lineRule="auto"/>
        <w:ind w:firstLine="720"/>
      </w:pPr>
    </w:p>
    <w:p w14:paraId="5B9136C1" w14:textId="24D947F7" w:rsidR="006A2C67" w:rsidRPr="001C20CC" w:rsidRDefault="00CB120B" w:rsidP="006A2C67">
      <w:pPr>
        <w:spacing w:line="360" w:lineRule="auto"/>
        <w:rPr>
          <w:b/>
          <w:bCs/>
        </w:rPr>
      </w:pPr>
      <w:r>
        <w:rPr>
          <w:b/>
          <w:bCs/>
        </w:rPr>
        <w:lastRenderedPageBreak/>
        <w:t>Population</w:t>
      </w:r>
      <w:r w:rsidR="006A2C67" w:rsidRPr="001C20CC">
        <w:rPr>
          <w:b/>
          <w:bCs/>
        </w:rPr>
        <w:t xml:space="preserve"> structure and </w:t>
      </w:r>
      <w:r>
        <w:rPr>
          <w:b/>
          <w:bCs/>
        </w:rPr>
        <w:t>assignment</w:t>
      </w:r>
    </w:p>
    <w:p w14:paraId="48D47123" w14:textId="4248F373" w:rsidR="00D37F35" w:rsidRDefault="006A2C67" w:rsidP="00D37F35">
      <w:pPr>
        <w:spacing w:line="360" w:lineRule="auto"/>
        <w:ind w:firstLine="720"/>
      </w:pPr>
      <w:r>
        <w:t xml:space="preserve">We used </w:t>
      </w:r>
      <w:r w:rsidR="00CB120B">
        <w:t xml:space="preserve">three </w:t>
      </w:r>
      <w:r>
        <w:t xml:space="preserve">different approaches to </w:t>
      </w:r>
      <w:r w:rsidRPr="00000BED">
        <w:t>identify and describe</w:t>
      </w:r>
      <w:r>
        <w:t xml:space="preserve"> genomic structure. </w:t>
      </w:r>
      <w:r w:rsidR="00000BED">
        <w:t>First, w</w:t>
      </w:r>
      <w:r>
        <w:t>e used PCA for an initial exploratory screening of data in R (</w:t>
      </w:r>
      <w:r w:rsidRPr="002079D0">
        <w:rPr>
          <w:highlight w:val="darkGray"/>
        </w:rPr>
        <w:t xml:space="preserve">cite </w:t>
      </w:r>
      <w:proofErr w:type="spellStart"/>
      <w:r w:rsidRPr="003B37C7">
        <w:rPr>
          <w:highlight w:val="darkGray"/>
        </w:rPr>
        <w:t>adegenet</w:t>
      </w:r>
      <w:proofErr w:type="spellEnd"/>
      <w:r w:rsidRPr="003B37C7">
        <w:rPr>
          <w:highlight w:val="darkGray"/>
        </w:rPr>
        <w:t xml:space="preserve"> </w:t>
      </w:r>
      <w:r w:rsidRPr="002079D0">
        <w:rPr>
          <w:highlight w:val="darkGray"/>
        </w:rPr>
        <w:t>package</w:t>
      </w:r>
      <w:r>
        <w:t xml:space="preserve">). </w:t>
      </w:r>
      <w:r w:rsidR="00000BED">
        <w:t xml:space="preserve">We ran </w:t>
      </w:r>
      <w:r w:rsidR="00CB120B">
        <w:t xml:space="preserve">PCA analysis </w:t>
      </w:r>
      <w:r w:rsidR="00D37F35">
        <w:t>to assess population structure and the find the number of clusters (k)</w:t>
      </w:r>
      <w:r w:rsidR="00000BED">
        <w:t xml:space="preserve">. </w:t>
      </w:r>
      <w:r>
        <w:t xml:space="preserve">Since PCA analysis </w:t>
      </w:r>
      <w:r w:rsidRPr="00B708AE">
        <w:t>makes no assumptions about sampled and ancestral populations</w:t>
      </w:r>
      <w:r>
        <w:t xml:space="preserve">, we ran </w:t>
      </w:r>
      <w:r w:rsidR="00000BED">
        <w:t xml:space="preserve">a tool in R, </w:t>
      </w:r>
      <w:proofErr w:type="spellStart"/>
      <w:r>
        <w:t>sNMF</w:t>
      </w:r>
      <w:proofErr w:type="spellEnd"/>
      <w:r>
        <w:t xml:space="preserve"> for </w:t>
      </w:r>
      <w:r w:rsidRPr="00B708AE">
        <w:t xml:space="preserve">estimates of </w:t>
      </w:r>
      <w:r w:rsidR="00000BED" w:rsidRPr="00000BED">
        <w:t xml:space="preserve">individual admixture </w:t>
      </w:r>
      <w:r w:rsidRPr="00B708AE">
        <w:t>coefficients</w:t>
      </w:r>
      <w:r>
        <w:t xml:space="preserve"> (</w:t>
      </w:r>
      <w:proofErr w:type="spellStart"/>
      <w:r w:rsidR="00F374B3" w:rsidRPr="00F374B3">
        <w:rPr>
          <w:highlight w:val="darkGray"/>
        </w:rPr>
        <w:t>Frichot</w:t>
      </w:r>
      <w:proofErr w:type="spellEnd"/>
      <w:r w:rsidR="00F374B3" w:rsidRPr="00F374B3">
        <w:rPr>
          <w:highlight w:val="darkGray"/>
        </w:rPr>
        <w:t xml:space="preserve"> et al., 2014</w:t>
      </w:r>
      <w:r>
        <w:t>)</w:t>
      </w:r>
      <w:r w:rsidR="00F374B3">
        <w:t xml:space="preserve">, </w:t>
      </w:r>
      <w:r w:rsidR="00F374B3" w:rsidRPr="00F374B3">
        <w:t>implemented in the r package lea 2.2.0 (</w:t>
      </w:r>
      <w:proofErr w:type="spellStart"/>
      <w:r w:rsidR="00F374B3" w:rsidRPr="00F374B3">
        <w:t>Frichot</w:t>
      </w:r>
      <w:proofErr w:type="spellEnd"/>
      <w:r w:rsidR="00F374B3" w:rsidRPr="00F374B3">
        <w:t xml:space="preserve"> &amp; François, 2015)</w:t>
      </w:r>
      <w:r w:rsidR="00000BED" w:rsidRPr="00000BED">
        <w:t xml:space="preserve">. </w:t>
      </w:r>
      <w:r w:rsidR="00F374B3">
        <w:t>T</w:t>
      </w:r>
      <w:r w:rsidR="00F374B3" w:rsidRPr="00F374B3">
        <w:t xml:space="preserve">o infer the best-fit number of populations (k) and construct assignment plots with admixture coefficients. </w:t>
      </w:r>
      <w:commentRangeStart w:id="0"/>
      <w:commentRangeStart w:id="1"/>
      <w:r w:rsidR="00F374B3" w:rsidRPr="00F374B3">
        <w:t xml:space="preserve">We </w:t>
      </w:r>
      <w:r w:rsidR="00F374B3">
        <w:t>set the</w:t>
      </w:r>
      <w:r w:rsidR="00F374B3" w:rsidRPr="00F374B3">
        <w:t xml:space="preserve"> parameter alpha </w:t>
      </w:r>
      <w:r w:rsidR="00F374B3">
        <w:t>at</w:t>
      </w:r>
      <w:r w:rsidR="00F374B3" w:rsidRPr="00F374B3">
        <w:t xml:space="preserve"> 10</w:t>
      </w:r>
      <w:commentRangeEnd w:id="0"/>
      <w:r w:rsidR="00F374B3">
        <w:rPr>
          <w:rStyle w:val="CommentReference"/>
        </w:rPr>
        <w:commentReference w:id="0"/>
      </w:r>
      <w:commentRangeEnd w:id="1"/>
      <w:r w:rsidR="00F374B3">
        <w:rPr>
          <w:rStyle w:val="CommentReference"/>
        </w:rPr>
        <w:commentReference w:id="1"/>
      </w:r>
      <w:r w:rsidR="00F374B3">
        <w:t xml:space="preserve"> and </w:t>
      </w:r>
      <w:r w:rsidR="00F374B3" w:rsidRPr="00F374B3">
        <w:t xml:space="preserve">performed </w:t>
      </w:r>
      <w:r w:rsidR="00F374B3">
        <w:t>50</w:t>
      </w:r>
      <w:r w:rsidR="00F374B3" w:rsidRPr="00F374B3">
        <w:t xml:space="preserve"> replicates for each value of k tested. Due to the unstable nature of estimating k (</w:t>
      </w:r>
      <w:r w:rsidR="00F374B3" w:rsidRPr="00F374B3">
        <w:rPr>
          <w:highlight w:val="darkGray"/>
        </w:rPr>
        <w:t>Kalinowski, 2011</w:t>
      </w:r>
      <w:r w:rsidR="00F374B3" w:rsidRPr="00F374B3">
        <w:t>) and given uneven sampling, we include and interpret values of k greater than the one inferred by the cross-entropy criterion</w:t>
      </w:r>
      <w:r w:rsidR="00D37F35">
        <w:t xml:space="preserve">. The third approach </w:t>
      </w:r>
      <w:r w:rsidR="00D64462">
        <w:t>for calculating g</w:t>
      </w:r>
      <w:r w:rsidR="00D64462" w:rsidRPr="00D64462">
        <w:t>enetic structure</w:t>
      </w:r>
      <w:r w:rsidR="00D64462">
        <w:t xml:space="preserve"> </w:t>
      </w:r>
      <w:r w:rsidR="00D37F35">
        <w:t>was a phenotype-locality level pairwise Fst</w:t>
      </w:r>
      <w:r w:rsidR="00D64462">
        <w:t xml:space="preserve"> </w:t>
      </w:r>
      <w:r w:rsidR="00D64462" w:rsidRPr="00D64462">
        <w:t xml:space="preserve">sampling </w:t>
      </w:r>
      <w:r w:rsidR="00D64462" w:rsidRPr="00D64462">
        <w:rPr>
          <w:highlight w:val="darkGray"/>
        </w:rPr>
        <w:t>(</w:t>
      </w:r>
      <w:proofErr w:type="spellStart"/>
      <w:r w:rsidR="00D64462" w:rsidRPr="00D64462">
        <w:rPr>
          <w:highlight w:val="darkGray"/>
        </w:rPr>
        <w:t>Nei</w:t>
      </w:r>
      <w:proofErr w:type="spellEnd"/>
      <w:r w:rsidR="00D64462" w:rsidRPr="00D64462">
        <w:rPr>
          <w:highlight w:val="darkGray"/>
        </w:rPr>
        <w:t xml:space="preserve"> &amp; </w:t>
      </w:r>
      <w:proofErr w:type="spellStart"/>
      <w:r w:rsidR="00D64462" w:rsidRPr="00D64462">
        <w:rPr>
          <w:highlight w:val="darkGray"/>
        </w:rPr>
        <w:t>Chesser</w:t>
      </w:r>
      <w:proofErr w:type="spellEnd"/>
      <w:r w:rsidR="00D64462" w:rsidRPr="00D64462">
        <w:rPr>
          <w:highlight w:val="darkGray"/>
        </w:rPr>
        <w:t>, 1983)</w:t>
      </w:r>
      <w:r w:rsidR="00D37F35" w:rsidRPr="00D64462">
        <w:rPr>
          <w:highlight w:val="darkGray"/>
        </w:rPr>
        <w:t>.</w:t>
      </w:r>
      <w:r w:rsidR="00D37F35">
        <w:t xml:space="preserve"> Fst was calculated using a custom script as a wrapper for </w:t>
      </w:r>
      <w:proofErr w:type="spellStart"/>
      <w:r w:rsidR="00D37F35">
        <w:t>vcftools</w:t>
      </w:r>
      <w:proofErr w:type="spellEnd"/>
      <w:r w:rsidR="00D37F35">
        <w:t xml:space="preserve">, which </w:t>
      </w:r>
      <w:proofErr w:type="gramStart"/>
      <w:r w:rsidR="00D37F35">
        <w:t>calculates</w:t>
      </w:r>
      <w:proofErr w:type="gramEnd"/>
    </w:p>
    <w:p w14:paraId="42A5D47A" w14:textId="0DE01816" w:rsidR="00752A49" w:rsidRDefault="00D37F35" w:rsidP="00D37F35">
      <w:pPr>
        <w:spacing w:line="360" w:lineRule="auto"/>
      </w:pPr>
      <w:r>
        <w:t>Weir and Cockerham’s (1984) estimator for Fst using a “ratio of averages” approach to test for gene flow</w:t>
      </w:r>
      <w:r w:rsidR="0088789D">
        <w:t xml:space="preserve"> and then </w:t>
      </w:r>
      <w:r w:rsidR="0088789D" w:rsidRPr="0088789D">
        <w:rPr>
          <w:color w:val="212121"/>
          <w:shd w:val="clear" w:color="auto" w:fill="FFFFFF"/>
        </w:rPr>
        <w:t>were visualized using R plotting functions</w:t>
      </w:r>
      <w:r>
        <w:t xml:space="preserve">. </w:t>
      </w:r>
      <w:r w:rsidR="006A2C67">
        <w:t>PCA</w:t>
      </w:r>
      <w:r>
        <w:t xml:space="preserve">, </w:t>
      </w:r>
      <w:proofErr w:type="spellStart"/>
      <w:r w:rsidR="006A2C67">
        <w:t>sNMF</w:t>
      </w:r>
      <w:proofErr w:type="spellEnd"/>
      <w:r w:rsidR="006A2C67">
        <w:t xml:space="preserve"> </w:t>
      </w:r>
      <w:r>
        <w:t xml:space="preserve">and Fst </w:t>
      </w:r>
      <w:r w:rsidR="006A2C67">
        <w:t>scripts</w:t>
      </w:r>
      <w:r w:rsidR="006A2C67" w:rsidRPr="003D5542">
        <w:t xml:space="preserve"> are available in </w:t>
      </w:r>
      <w:r w:rsidR="006A2C67">
        <w:t>s</w:t>
      </w:r>
      <w:r w:rsidR="006A2C67" w:rsidRPr="003D5542">
        <w:t xml:space="preserve">upplementary </w:t>
      </w:r>
      <w:r w:rsidR="006A2C67">
        <w:t>m</w:t>
      </w:r>
      <w:r w:rsidR="006A2C67" w:rsidRPr="003D5542">
        <w:t xml:space="preserve">ethods </w:t>
      </w:r>
      <w:r w:rsidR="006A2C67">
        <w:t>(</w:t>
      </w:r>
      <w:r w:rsidR="006A2C67" w:rsidRPr="00B31D65">
        <w:rPr>
          <w:highlight w:val="darkCyan"/>
        </w:rPr>
        <w:t xml:space="preserve">link </w:t>
      </w:r>
      <w:r w:rsidR="006A2C67" w:rsidRPr="003B37C7">
        <w:rPr>
          <w:highlight w:val="darkCyan"/>
        </w:rPr>
        <w:t>pipeline</w:t>
      </w:r>
      <w:r w:rsidR="006A2C67">
        <w:t>)</w:t>
      </w:r>
      <w:r w:rsidR="00752A49">
        <w:t>.</w:t>
      </w:r>
    </w:p>
    <w:p w14:paraId="102554BE" w14:textId="77777777" w:rsidR="00455786" w:rsidRDefault="00455786" w:rsidP="00D37F35">
      <w:pPr>
        <w:spacing w:line="360" w:lineRule="auto"/>
      </w:pPr>
    </w:p>
    <w:p w14:paraId="4C427E71" w14:textId="77777777" w:rsidR="00752A49" w:rsidRDefault="00752A49" w:rsidP="00D37F35">
      <w:pPr>
        <w:spacing w:line="360" w:lineRule="auto"/>
        <w:rPr>
          <w:b/>
          <w:bCs/>
        </w:rPr>
      </w:pPr>
      <w:r w:rsidRPr="00752A49">
        <w:rPr>
          <w:b/>
          <w:bCs/>
        </w:rPr>
        <w:t>Testing for gene flow</w:t>
      </w:r>
    </w:p>
    <w:p w14:paraId="13183B19" w14:textId="72FA1DED" w:rsidR="00396084" w:rsidRDefault="00396084" w:rsidP="00396084">
      <w:pPr>
        <w:spacing w:line="360" w:lineRule="auto"/>
        <w:rPr>
          <w:color w:val="212121"/>
          <w:shd w:val="clear" w:color="auto" w:fill="FFFFFF"/>
        </w:rPr>
      </w:pPr>
      <w:r>
        <w:rPr>
          <w:color w:val="212121"/>
          <w:shd w:val="clear" w:color="auto" w:fill="FFFFFF"/>
        </w:rPr>
        <w:t>We used</w:t>
      </w:r>
      <w:r w:rsidRPr="001278EA">
        <w:rPr>
          <w:color w:val="212121"/>
          <w:shd w:val="clear" w:color="auto" w:fill="FFFFFF"/>
        </w:rPr>
        <w:t xml:space="preserve"> </w:t>
      </w:r>
      <w:proofErr w:type="spellStart"/>
      <w:r w:rsidRPr="001278EA">
        <w:rPr>
          <w:color w:val="212121"/>
          <w:shd w:val="clear" w:color="auto" w:fill="FFFFFF"/>
        </w:rPr>
        <w:t>treemix</w:t>
      </w:r>
      <w:proofErr w:type="spellEnd"/>
      <w:r w:rsidRPr="001278EA">
        <w:rPr>
          <w:color w:val="212121"/>
          <w:shd w:val="clear" w:color="auto" w:fill="FFFFFF"/>
        </w:rPr>
        <w:t xml:space="preserve"> v1.13 (</w:t>
      </w:r>
      <w:proofErr w:type="spellStart"/>
      <w:r w:rsidRPr="001278EA">
        <w:rPr>
          <w:color w:val="212121"/>
          <w:highlight w:val="darkGray"/>
          <w:shd w:val="clear" w:color="auto" w:fill="FFFFFF"/>
        </w:rPr>
        <w:t>Pickrell</w:t>
      </w:r>
      <w:proofErr w:type="spellEnd"/>
      <w:r w:rsidRPr="001278EA">
        <w:rPr>
          <w:color w:val="212121"/>
          <w:highlight w:val="darkGray"/>
          <w:shd w:val="clear" w:color="auto" w:fill="FFFFFF"/>
        </w:rPr>
        <w:t xml:space="preserve"> &amp; Pritchard, 2012</w:t>
      </w:r>
      <w:r w:rsidRPr="001278EA">
        <w:rPr>
          <w:color w:val="212121"/>
          <w:shd w:val="clear" w:color="auto" w:fill="FFFFFF"/>
        </w:rPr>
        <w:t xml:space="preserve">), </w:t>
      </w:r>
      <w:r>
        <w:rPr>
          <w:color w:val="212121"/>
          <w:shd w:val="clear" w:color="auto" w:fill="FFFFFF"/>
        </w:rPr>
        <w:t xml:space="preserve">to </w:t>
      </w:r>
      <w:r w:rsidRPr="0078746A">
        <w:rPr>
          <w:color w:val="212121"/>
          <w:shd w:val="clear" w:color="auto" w:fill="FFFFFF"/>
        </w:rPr>
        <w:t xml:space="preserve">estimate genetic relationships and admixture </w:t>
      </w:r>
      <w:r>
        <w:rPr>
          <w:color w:val="212121"/>
          <w:shd w:val="clear" w:color="auto" w:fill="FFFFFF"/>
        </w:rPr>
        <w:t xml:space="preserve">between </w:t>
      </w:r>
      <w:proofErr w:type="spellStart"/>
      <w:r>
        <w:rPr>
          <w:color w:val="212121"/>
          <w:shd w:val="clear" w:color="auto" w:fill="FFFFFF"/>
        </w:rPr>
        <w:t>Aciurina</w:t>
      </w:r>
      <w:proofErr w:type="spellEnd"/>
      <w:r>
        <w:rPr>
          <w:color w:val="212121"/>
          <w:shd w:val="clear" w:color="auto" w:fill="FFFFFF"/>
        </w:rPr>
        <w:t xml:space="preserve"> groups </w:t>
      </w:r>
      <w:r w:rsidRPr="001278EA">
        <w:rPr>
          <w:color w:val="212121"/>
          <w:shd w:val="clear" w:color="auto" w:fill="FFFFFF"/>
        </w:rPr>
        <w:t>utilizing the covariance of allele frequencies among populations. This tool estimates a maximum likelihood (ML) species tree and identifies species pairs exhibiting closer relationships than can be accounted for by the species tree structure. These identified species pairs are considered potential candidates for migration events</w:t>
      </w:r>
      <w:r>
        <w:rPr>
          <w:color w:val="212121"/>
          <w:shd w:val="clear" w:color="auto" w:fill="FFFFFF"/>
        </w:rPr>
        <w:t>.</w:t>
      </w:r>
      <w:r w:rsidRPr="001278EA">
        <w:rPr>
          <w:color w:val="212121"/>
          <w:shd w:val="clear" w:color="auto" w:fill="FFFFFF"/>
        </w:rPr>
        <w:t xml:space="preserve"> </w:t>
      </w:r>
      <w:r>
        <w:rPr>
          <w:color w:val="212121"/>
          <w:shd w:val="clear" w:color="auto" w:fill="FFFFFF"/>
        </w:rPr>
        <w:t xml:space="preserve">We set </w:t>
      </w:r>
      <w:r w:rsidRPr="0078746A">
        <w:rPr>
          <w:color w:val="212121"/>
          <w:shd w:val="clear" w:color="auto" w:fill="FFFFFF"/>
        </w:rPr>
        <w:t xml:space="preserve">the </w:t>
      </w:r>
      <w:r>
        <w:rPr>
          <w:color w:val="212121"/>
          <w:shd w:val="clear" w:color="auto" w:fill="FFFFFF"/>
        </w:rPr>
        <w:t>Opaca</w:t>
      </w:r>
      <w:r w:rsidRPr="0078746A">
        <w:rPr>
          <w:color w:val="212121"/>
          <w:shd w:val="clear" w:color="auto" w:fill="FFFFFF"/>
        </w:rPr>
        <w:t xml:space="preserve"> samples as root</w:t>
      </w:r>
      <w:r>
        <w:rPr>
          <w:color w:val="212121"/>
          <w:shd w:val="clear" w:color="auto" w:fill="FFFFFF"/>
        </w:rPr>
        <w:t xml:space="preserve">, then </w:t>
      </w:r>
      <w:r w:rsidRPr="00C366A3">
        <w:rPr>
          <w:color w:val="212121"/>
          <w:highlight w:val="darkGray"/>
          <w:shd w:val="clear" w:color="auto" w:fill="FFFFFF"/>
        </w:rPr>
        <w:t xml:space="preserve">applied the </w:t>
      </w:r>
      <w:proofErr w:type="spellStart"/>
      <w:r w:rsidRPr="00C366A3">
        <w:rPr>
          <w:color w:val="212121"/>
          <w:highlight w:val="darkGray"/>
          <w:shd w:val="clear" w:color="auto" w:fill="FFFFFF"/>
        </w:rPr>
        <w:t>TreeMix</w:t>
      </w:r>
      <w:proofErr w:type="spellEnd"/>
      <w:r w:rsidRPr="00C366A3">
        <w:rPr>
          <w:color w:val="212121"/>
          <w:highlight w:val="darkGray"/>
          <w:shd w:val="clear" w:color="auto" w:fill="FFFFFF"/>
        </w:rPr>
        <w:t xml:space="preserve"> model while considering linkage disequilibrium</w:t>
      </w:r>
      <w:r>
        <w:rPr>
          <w:color w:val="212121"/>
          <w:highlight w:val="darkGray"/>
          <w:shd w:val="clear" w:color="auto" w:fill="FFFFFF"/>
        </w:rPr>
        <w:t xml:space="preserve"> by organizing </w:t>
      </w:r>
      <w:r w:rsidRPr="00C366A3">
        <w:rPr>
          <w:color w:val="212121"/>
          <w:highlight w:val="darkGray"/>
          <w:shd w:val="clear" w:color="auto" w:fill="FFFFFF"/>
        </w:rPr>
        <w:t xml:space="preserve">sites into blocks of 1,000 single-nucleotide polymorphisms (-k 1,000). Standard errors (-SE) </w:t>
      </w:r>
      <w:proofErr w:type="gramStart"/>
      <w:r w:rsidR="0096486E">
        <w:rPr>
          <w:color w:val="212121"/>
          <w:highlight w:val="darkGray"/>
          <w:shd w:val="clear" w:color="auto" w:fill="FFFFFF"/>
        </w:rPr>
        <w:t>was</w:t>
      </w:r>
      <w:proofErr w:type="gramEnd"/>
      <w:r w:rsidRPr="00C366A3">
        <w:rPr>
          <w:color w:val="212121"/>
          <w:highlight w:val="darkGray"/>
          <w:shd w:val="clear" w:color="auto" w:fill="FFFFFF"/>
        </w:rPr>
        <w:t xml:space="preserve"> used to assess the reliability of the tree topology. Following the construction of a maximum-likelihood </w:t>
      </w:r>
      <w:r w:rsidRPr="0096486E">
        <w:rPr>
          <w:color w:val="212121"/>
          <w:highlight w:val="darkGray"/>
          <w:shd w:val="clear" w:color="auto" w:fill="FFFFFF"/>
        </w:rPr>
        <w:t>tree,</w:t>
      </w:r>
      <w:commentRangeStart w:id="2"/>
      <w:r w:rsidRPr="0096486E">
        <w:rPr>
          <w:color w:val="212121"/>
          <w:highlight w:val="darkGray"/>
          <w:shd w:val="clear" w:color="auto" w:fill="FFFFFF"/>
        </w:rPr>
        <w:t xml:space="preserve"> migration</w:t>
      </w:r>
      <w:r w:rsidR="0096486E" w:rsidRPr="0096486E">
        <w:rPr>
          <w:color w:val="212121"/>
          <w:highlight w:val="darkGray"/>
          <w:shd w:val="clear" w:color="auto" w:fill="FFFFFF"/>
        </w:rPr>
        <w:t xml:space="preserve"> edges </w:t>
      </w:r>
      <w:r w:rsidR="0096486E" w:rsidRPr="0096486E">
        <w:rPr>
          <w:color w:val="212121"/>
          <w:highlight w:val="darkGray"/>
          <w:shd w:val="clear" w:color="auto" w:fill="FFFFFF"/>
        </w:rPr>
        <w:t>(−m)</w:t>
      </w:r>
      <w:r w:rsidRPr="0096486E">
        <w:rPr>
          <w:color w:val="212121"/>
          <w:highlight w:val="darkGray"/>
          <w:shd w:val="clear" w:color="auto" w:fill="FFFFFF"/>
        </w:rPr>
        <w:t xml:space="preserve"> were introduced</w:t>
      </w:r>
      <w:r w:rsidR="0096486E" w:rsidRPr="0096486E">
        <w:rPr>
          <w:color w:val="212121"/>
          <w:highlight w:val="darkGray"/>
          <w:shd w:val="clear" w:color="auto" w:fill="FFFFFF"/>
        </w:rPr>
        <w:t xml:space="preserve"> until </w:t>
      </w:r>
      <w:r w:rsidR="0096486E" w:rsidRPr="0096486E">
        <w:rPr>
          <w:color w:val="212121"/>
          <w:highlight w:val="darkGray"/>
          <w:shd w:val="clear" w:color="auto" w:fill="FFFFFF"/>
        </w:rPr>
        <w:t>we observed an increase in likelihood of &lt;1</w:t>
      </w:r>
      <w:r w:rsidRPr="0096486E">
        <w:rPr>
          <w:color w:val="212121"/>
          <w:highlight w:val="darkGray"/>
          <w:shd w:val="clear" w:color="auto" w:fill="FFFFFF"/>
        </w:rPr>
        <w:t xml:space="preserve">. </w:t>
      </w:r>
      <w:commentRangeEnd w:id="2"/>
      <w:r w:rsidR="00216262" w:rsidRPr="0096486E">
        <w:rPr>
          <w:rStyle w:val="CommentReference"/>
          <w:highlight w:val="darkGray"/>
        </w:rPr>
        <w:commentReference w:id="2"/>
      </w:r>
      <w:r w:rsidR="0096486E" w:rsidRPr="0096486E">
        <w:rPr>
          <w:color w:val="212121"/>
          <w:highlight w:val="darkGray"/>
          <w:shd w:val="clear" w:color="auto" w:fill="FFFFFF"/>
        </w:rPr>
        <w:t xml:space="preserve"> To </w:t>
      </w:r>
      <w:r w:rsidR="0096486E">
        <w:rPr>
          <w:color w:val="212121"/>
          <w:highlight w:val="darkGray"/>
          <w:shd w:val="clear" w:color="auto" w:fill="FFFFFF"/>
        </w:rPr>
        <w:t xml:space="preserve">test for introgression between </w:t>
      </w:r>
      <w:r w:rsidR="0096486E" w:rsidRPr="0096486E">
        <w:rPr>
          <w:i/>
          <w:iCs/>
          <w:color w:val="212121"/>
          <w:highlight w:val="darkGray"/>
          <w:shd w:val="clear" w:color="auto" w:fill="FFFFFF"/>
        </w:rPr>
        <w:t xml:space="preserve">A. </w:t>
      </w:r>
      <w:proofErr w:type="spellStart"/>
      <w:r w:rsidR="0096486E" w:rsidRPr="0096486E">
        <w:rPr>
          <w:i/>
          <w:iCs/>
          <w:color w:val="212121"/>
          <w:highlight w:val="darkGray"/>
          <w:shd w:val="clear" w:color="auto" w:fill="FFFFFF"/>
        </w:rPr>
        <w:t>trixa</w:t>
      </w:r>
      <w:proofErr w:type="spellEnd"/>
      <w:r w:rsidR="0096486E">
        <w:rPr>
          <w:color w:val="212121"/>
          <w:highlight w:val="darkGray"/>
          <w:shd w:val="clear" w:color="auto" w:fill="FFFFFF"/>
        </w:rPr>
        <w:t xml:space="preserve"> and </w:t>
      </w:r>
      <w:r w:rsidR="0096486E" w:rsidRPr="0096486E">
        <w:rPr>
          <w:i/>
          <w:iCs/>
          <w:color w:val="212121"/>
          <w:highlight w:val="darkGray"/>
          <w:shd w:val="clear" w:color="auto" w:fill="FFFFFF"/>
        </w:rPr>
        <w:t xml:space="preserve">A. </w:t>
      </w:r>
      <w:proofErr w:type="spellStart"/>
      <w:r w:rsidR="0096486E" w:rsidRPr="0096486E">
        <w:rPr>
          <w:i/>
          <w:iCs/>
          <w:color w:val="212121"/>
          <w:highlight w:val="darkGray"/>
          <w:shd w:val="clear" w:color="auto" w:fill="FFFFFF"/>
        </w:rPr>
        <w:t>bigloviae</w:t>
      </w:r>
      <w:proofErr w:type="spellEnd"/>
      <w:r w:rsidR="0096486E" w:rsidRPr="0096486E">
        <w:rPr>
          <w:i/>
          <w:iCs/>
          <w:color w:val="212121"/>
          <w:highlight w:val="darkGray"/>
          <w:shd w:val="clear" w:color="auto" w:fill="FFFFFF"/>
        </w:rPr>
        <w:t xml:space="preserve"> </w:t>
      </w:r>
      <w:r w:rsidR="0096486E">
        <w:rPr>
          <w:color w:val="212121"/>
          <w:highlight w:val="darkGray"/>
          <w:shd w:val="clear" w:color="auto" w:fill="FFFFFF"/>
        </w:rPr>
        <w:t xml:space="preserve">to further examine the </w:t>
      </w:r>
      <w:proofErr w:type="spellStart"/>
      <w:r w:rsidR="0096486E" w:rsidRPr="0096486E">
        <w:rPr>
          <w:color w:val="212121"/>
          <w:highlight w:val="darkGray"/>
          <w:shd w:val="clear" w:color="auto" w:fill="FFFFFF"/>
        </w:rPr>
        <w:t>mitonuclear</w:t>
      </w:r>
      <w:proofErr w:type="spellEnd"/>
      <w:r w:rsidR="0096486E" w:rsidRPr="0096486E">
        <w:rPr>
          <w:color w:val="212121"/>
          <w:highlight w:val="darkGray"/>
          <w:shd w:val="clear" w:color="auto" w:fill="FFFFFF"/>
        </w:rPr>
        <w:t xml:space="preserve"> discordance, we also performed supervised runs of </w:t>
      </w:r>
      <w:proofErr w:type="spellStart"/>
      <w:r w:rsidR="0096486E" w:rsidRPr="0096486E">
        <w:rPr>
          <w:color w:val="212121"/>
          <w:highlight w:val="darkGray"/>
          <w:shd w:val="clear" w:color="auto" w:fill="FFFFFF"/>
        </w:rPr>
        <w:t>treemix</w:t>
      </w:r>
      <w:proofErr w:type="spellEnd"/>
      <w:r w:rsidR="0096486E" w:rsidRPr="0096486E">
        <w:rPr>
          <w:color w:val="212121"/>
          <w:highlight w:val="darkGray"/>
          <w:shd w:val="clear" w:color="auto" w:fill="FFFFFF"/>
        </w:rPr>
        <w:t xml:space="preserve"> by adding a priori migration edges using the -</w:t>
      </w:r>
      <w:proofErr w:type="spellStart"/>
      <w:r w:rsidR="0096486E" w:rsidRPr="0096486E">
        <w:rPr>
          <w:color w:val="212121"/>
          <w:highlight w:val="darkGray"/>
          <w:shd w:val="clear" w:color="auto" w:fill="FFFFFF"/>
        </w:rPr>
        <w:t>cor_mig</w:t>
      </w:r>
      <w:proofErr w:type="spellEnd"/>
      <w:r w:rsidR="0096486E" w:rsidRPr="0096486E">
        <w:rPr>
          <w:color w:val="212121"/>
          <w:highlight w:val="darkGray"/>
          <w:shd w:val="clear" w:color="auto" w:fill="FFFFFF"/>
        </w:rPr>
        <w:t xml:space="preserve"> and -climb flags. Specifically, we manually tested </w:t>
      </w:r>
      <w:r w:rsidR="0096486E">
        <w:rPr>
          <w:color w:val="212121"/>
          <w:highlight w:val="darkGray"/>
          <w:shd w:val="clear" w:color="auto" w:fill="FFFFFF"/>
        </w:rPr>
        <w:t># of</w:t>
      </w:r>
      <w:r w:rsidR="0096486E" w:rsidRPr="0096486E">
        <w:rPr>
          <w:color w:val="212121"/>
          <w:highlight w:val="darkGray"/>
          <w:shd w:val="clear" w:color="auto" w:fill="FFFFFF"/>
        </w:rPr>
        <w:t xml:space="preserve"> edges: </w:t>
      </w:r>
      <w:r w:rsidR="003E2B29">
        <w:rPr>
          <w:color w:val="212121"/>
          <w:highlight w:val="yellow"/>
          <w:shd w:val="clear" w:color="auto" w:fill="FFFFFF"/>
        </w:rPr>
        <w:t>Cotton and Smooth groups SPECIFY</w:t>
      </w:r>
      <w:r w:rsidR="0096486E" w:rsidRPr="0096486E">
        <w:rPr>
          <w:color w:val="212121"/>
          <w:highlight w:val="yellow"/>
          <w:shd w:val="clear" w:color="auto" w:fill="FFFFFF"/>
        </w:rPr>
        <w:t xml:space="preserve">. This </w:t>
      </w:r>
      <w:proofErr w:type="spellStart"/>
      <w:r w:rsidR="003E2B29">
        <w:rPr>
          <w:color w:val="212121"/>
          <w:highlight w:val="yellow"/>
          <w:shd w:val="clear" w:color="auto" w:fill="FFFFFF"/>
        </w:rPr>
        <w:t>eas</w:t>
      </w:r>
      <w:proofErr w:type="spellEnd"/>
      <w:r w:rsidR="003E2B29">
        <w:rPr>
          <w:color w:val="212121"/>
          <w:highlight w:val="yellow"/>
          <w:shd w:val="clear" w:color="auto" w:fill="FFFFFF"/>
        </w:rPr>
        <w:t xml:space="preserve"> to test</w:t>
      </w:r>
      <w:r w:rsidR="0096486E" w:rsidRPr="0096486E">
        <w:rPr>
          <w:color w:val="212121"/>
          <w:highlight w:val="yellow"/>
          <w:shd w:val="clear" w:color="auto" w:fill="FFFFFF"/>
        </w:rPr>
        <w:t xml:space="preserve"> the hypothesis </w:t>
      </w:r>
      <w:r w:rsidR="0096486E" w:rsidRPr="0096486E">
        <w:rPr>
          <w:color w:val="212121"/>
          <w:highlight w:val="yellow"/>
          <w:shd w:val="clear" w:color="auto" w:fill="FFFFFF"/>
        </w:rPr>
        <w:lastRenderedPageBreak/>
        <w:t xml:space="preserve">of introgression to explain phylogenetic </w:t>
      </w:r>
      <w:r w:rsidR="003E2B29">
        <w:rPr>
          <w:color w:val="212121"/>
          <w:highlight w:val="yellow"/>
          <w:shd w:val="clear" w:color="auto" w:fill="FFFFFF"/>
        </w:rPr>
        <w:t>discrepancy</w:t>
      </w:r>
      <w:r w:rsidR="0096486E" w:rsidRPr="0096486E">
        <w:rPr>
          <w:color w:val="212121"/>
          <w:highlight w:val="yellow"/>
          <w:shd w:val="clear" w:color="auto" w:fill="FFFFFF"/>
        </w:rPr>
        <w:t xml:space="preserve"> between </w:t>
      </w:r>
      <w:r w:rsidR="003E2B29">
        <w:rPr>
          <w:color w:val="212121"/>
          <w:highlight w:val="yellow"/>
          <w:shd w:val="clear" w:color="auto" w:fill="FFFFFF"/>
        </w:rPr>
        <w:t xml:space="preserve">COI and nuclear </w:t>
      </w:r>
      <w:r w:rsidR="0096486E" w:rsidRPr="0096486E">
        <w:rPr>
          <w:color w:val="212121"/>
          <w:highlight w:val="yellow"/>
          <w:shd w:val="clear" w:color="auto" w:fill="FFFFFF"/>
        </w:rPr>
        <w:t>analyses.</w:t>
      </w:r>
      <w:r w:rsidR="003E2B29">
        <w:rPr>
          <w:color w:val="212121"/>
          <w:highlight w:val="yellow"/>
          <w:shd w:val="clear" w:color="auto" w:fill="FFFFFF"/>
        </w:rPr>
        <w:t xml:space="preserve"> </w:t>
      </w:r>
      <w:proofErr w:type="gramStart"/>
      <w:r w:rsidRPr="0096486E">
        <w:rPr>
          <w:color w:val="212121"/>
          <w:highlight w:val="yellow"/>
          <w:shd w:val="clear" w:color="auto" w:fill="FFFFFF"/>
        </w:rPr>
        <w:t>The</w:t>
      </w:r>
      <w:proofErr w:type="gramEnd"/>
      <w:r w:rsidRPr="0096486E">
        <w:rPr>
          <w:color w:val="212121"/>
          <w:highlight w:val="yellow"/>
          <w:shd w:val="clear" w:color="auto" w:fill="FFFFFF"/>
        </w:rPr>
        <w:t xml:space="preserve"> resulting maximum-likelihood trees were visualized using the built-in </w:t>
      </w:r>
      <w:proofErr w:type="spellStart"/>
      <w:r w:rsidRPr="0096486E">
        <w:rPr>
          <w:color w:val="212121"/>
          <w:highlight w:val="yellow"/>
          <w:shd w:val="clear" w:color="auto" w:fill="FFFFFF"/>
        </w:rPr>
        <w:t>TreeMix</w:t>
      </w:r>
      <w:proofErr w:type="spellEnd"/>
      <w:r w:rsidRPr="0096486E">
        <w:rPr>
          <w:color w:val="212121"/>
          <w:highlight w:val="yellow"/>
          <w:shd w:val="clear" w:color="auto" w:fill="FFFFFF"/>
        </w:rPr>
        <w:t xml:space="preserve"> R script plotting functions.</w:t>
      </w:r>
    </w:p>
    <w:p w14:paraId="4B5191F1" w14:textId="77777777" w:rsidR="00396084" w:rsidRDefault="00396084" w:rsidP="00752A49">
      <w:pPr>
        <w:spacing w:line="360" w:lineRule="auto"/>
        <w:rPr>
          <w:color w:val="212121"/>
          <w:shd w:val="clear" w:color="auto" w:fill="FFFFFF"/>
        </w:rPr>
      </w:pPr>
    </w:p>
    <w:p w14:paraId="025C4549" w14:textId="1358B913" w:rsidR="00752A49" w:rsidRDefault="00752A49" w:rsidP="00752A49">
      <w:pPr>
        <w:spacing w:line="360" w:lineRule="auto"/>
        <w:rPr>
          <w:color w:val="212121"/>
          <w:shd w:val="clear" w:color="auto" w:fill="FFFFFF"/>
        </w:rPr>
      </w:pPr>
      <w:r w:rsidRPr="00752A49">
        <w:rPr>
          <w:color w:val="212121"/>
          <w:shd w:val="clear" w:color="auto" w:fill="FFFFFF"/>
        </w:rPr>
        <w:t xml:space="preserve">We conducted ABBA/BABA tests for introgression (Durand et al., 2011) within </w:t>
      </w:r>
      <w:r w:rsidR="003C0107">
        <w:rPr>
          <w:color w:val="212121"/>
          <w:shd w:val="clear" w:color="auto" w:fill="FFFFFF"/>
        </w:rPr>
        <w:t>location-phenotype populations</w:t>
      </w:r>
      <w:r w:rsidRPr="00752A49">
        <w:rPr>
          <w:color w:val="212121"/>
          <w:shd w:val="clear" w:color="auto" w:fill="FFFFFF"/>
        </w:rPr>
        <w:t xml:space="preserve"> to assess instances of non-sister introgression or deviations from a strictly bifurcating evolutionary history. Specifically, we computed the D statistic, an integral part of ABBA/BABA tests requiring four taxa (P1, P2, P3, and P4). In this setup, P1 and P2 are considered sisters, with P3 as a sister to that group, and </w:t>
      </w:r>
      <w:r w:rsidR="004E090F">
        <w:rPr>
          <w:color w:val="212121"/>
          <w:shd w:val="clear" w:color="auto" w:fill="FFFFFF"/>
        </w:rPr>
        <w:t xml:space="preserve">for </w:t>
      </w:r>
      <w:r w:rsidRPr="00752A49">
        <w:rPr>
          <w:color w:val="212121"/>
          <w:shd w:val="clear" w:color="auto" w:fill="FFFFFF"/>
        </w:rPr>
        <w:t>P4 serving as an outgroup</w:t>
      </w:r>
      <w:r w:rsidR="004E090F">
        <w:rPr>
          <w:color w:val="212121"/>
          <w:shd w:val="clear" w:color="auto" w:fill="FFFFFF"/>
        </w:rPr>
        <w:t xml:space="preserve"> we used the opaca samples</w:t>
      </w:r>
      <w:r w:rsidRPr="00752A49">
        <w:rPr>
          <w:color w:val="212121"/>
          <w:shd w:val="clear" w:color="auto" w:fill="FFFFFF"/>
        </w:rPr>
        <w:t>.</w:t>
      </w:r>
      <w:r w:rsidR="00A129D3">
        <w:rPr>
          <w:color w:val="212121"/>
          <w:shd w:val="clear" w:color="auto" w:fill="FFFFFF"/>
        </w:rPr>
        <w:t xml:space="preserve"> </w:t>
      </w:r>
    </w:p>
    <w:p w14:paraId="5D16BC63" w14:textId="77777777" w:rsidR="00A129D3" w:rsidRDefault="00A129D3" w:rsidP="00752A49">
      <w:pPr>
        <w:spacing w:line="360" w:lineRule="auto"/>
        <w:rPr>
          <w:color w:val="212121"/>
          <w:shd w:val="clear" w:color="auto" w:fill="FFFFFF"/>
        </w:rPr>
      </w:pPr>
    </w:p>
    <w:p w14:paraId="388B6973" w14:textId="4262973D" w:rsidR="00A129D3" w:rsidRPr="00752A49" w:rsidRDefault="00A129D3" w:rsidP="00A129D3">
      <w:pPr>
        <w:rPr>
          <w:color w:val="212121"/>
          <w:shd w:val="clear" w:color="auto" w:fill="FFFFFF"/>
        </w:rPr>
      </w:pPr>
      <w:r w:rsidRPr="00A129D3">
        <w:rPr>
          <w:color w:val="212121"/>
          <w:highlight w:val="darkGray"/>
          <w:shd w:val="clear" w:color="auto" w:fill="FFFFFF"/>
        </w:rPr>
        <w:t xml:space="preserve">We used the f4-ratio statistic to assess genomic evidence for interspecific gene exchange. We calculated the f4-ratio for all combinations of trios of species on the filtered VCF files using the software </w:t>
      </w:r>
      <w:proofErr w:type="spellStart"/>
      <w:r w:rsidRPr="00A129D3">
        <w:rPr>
          <w:color w:val="212121"/>
          <w:highlight w:val="darkGray"/>
          <w:shd w:val="clear" w:color="auto" w:fill="FFFFFF"/>
        </w:rPr>
        <w:t>Dsuite</w:t>
      </w:r>
      <w:proofErr w:type="spellEnd"/>
      <w:r w:rsidRPr="00A129D3">
        <w:rPr>
          <w:color w:val="212121"/>
          <w:highlight w:val="darkGray"/>
          <w:shd w:val="clear" w:color="auto" w:fill="FFFFFF"/>
        </w:rPr>
        <w:t xml:space="preserve"> (v.0.2 r20). The f4-ratio statistic estimates the admixture proportion, that is, the proportion of the genome affected by gene flow. The results presented in this study (Fig. </w:t>
      </w:r>
      <w:proofErr w:type="spellStart"/>
      <w:r>
        <w:rPr>
          <w:color w:val="212121"/>
          <w:highlight w:val="darkGray"/>
          <w:shd w:val="clear" w:color="auto" w:fill="FFFFFF"/>
        </w:rPr>
        <w:t>Dsuite</w:t>
      </w:r>
      <w:proofErr w:type="spellEnd"/>
      <w:r w:rsidRPr="00A129D3">
        <w:rPr>
          <w:color w:val="212121"/>
          <w:highlight w:val="darkGray"/>
          <w:shd w:val="clear" w:color="auto" w:fill="FFFFFF"/>
        </w:rPr>
        <w:t xml:space="preserve">) are based on the ‘tree’ output of the </w:t>
      </w:r>
      <w:proofErr w:type="spellStart"/>
      <w:r w:rsidRPr="00A129D3">
        <w:rPr>
          <w:color w:val="212121"/>
          <w:highlight w:val="darkGray"/>
          <w:shd w:val="clear" w:color="auto" w:fill="FFFFFF"/>
        </w:rPr>
        <w:t>Dsuite</w:t>
      </w:r>
      <w:proofErr w:type="spellEnd"/>
      <w:r w:rsidRPr="00A129D3">
        <w:rPr>
          <w:color w:val="212121"/>
          <w:highlight w:val="darkGray"/>
          <w:shd w:val="clear" w:color="auto" w:fill="FFFFFF"/>
        </w:rPr>
        <w:t xml:space="preserve"> function </w:t>
      </w:r>
      <w:proofErr w:type="spellStart"/>
      <w:r w:rsidRPr="00A129D3">
        <w:rPr>
          <w:color w:val="212121"/>
          <w:highlight w:val="darkGray"/>
          <w:shd w:val="clear" w:color="auto" w:fill="FFFFFF"/>
        </w:rPr>
        <w:t>Dtrios</w:t>
      </w:r>
      <w:proofErr w:type="spellEnd"/>
      <w:r w:rsidRPr="00A129D3">
        <w:rPr>
          <w:color w:val="212121"/>
          <w:highlight w:val="darkGray"/>
          <w:shd w:val="clear" w:color="auto" w:fill="FFFFFF"/>
        </w:rPr>
        <w:t xml:space="preserve">, with each trio arranged according to the species tree </w:t>
      </w:r>
      <w:proofErr w:type="gramStart"/>
      <w:r w:rsidRPr="00A129D3">
        <w:rPr>
          <w:color w:val="212121"/>
          <w:highlight w:val="darkGray"/>
          <w:shd w:val="clear" w:color="auto" w:fill="FFFFFF"/>
        </w:rPr>
        <w:t>on the basis of</w:t>
      </w:r>
      <w:proofErr w:type="gramEnd"/>
      <w:r w:rsidRPr="00A129D3">
        <w:rPr>
          <w:color w:val="212121"/>
          <w:highlight w:val="darkGray"/>
          <w:shd w:val="clear" w:color="auto" w:fill="FFFFFF"/>
        </w:rPr>
        <w:t xml:space="preserve"> the maximum-likelihood topology</w:t>
      </w:r>
      <w:r>
        <w:rPr>
          <w:color w:val="212121"/>
          <w:highlight w:val="darkGray"/>
          <w:shd w:val="clear" w:color="auto" w:fill="FFFFFF"/>
        </w:rPr>
        <w:t xml:space="preserve"> found using IQ-Tree</w:t>
      </w:r>
      <w:r w:rsidRPr="00A129D3">
        <w:rPr>
          <w:color w:val="212121"/>
          <w:highlight w:val="darkGray"/>
          <w:shd w:val="clear" w:color="auto" w:fill="FFFFFF"/>
        </w:rPr>
        <w:t>.</w:t>
      </w:r>
    </w:p>
    <w:p w14:paraId="28DABFDD" w14:textId="77777777" w:rsidR="00752A49" w:rsidRPr="00752A49" w:rsidRDefault="00752A49" w:rsidP="00752A49">
      <w:pPr>
        <w:spacing w:line="360" w:lineRule="auto"/>
        <w:rPr>
          <w:color w:val="212121"/>
          <w:shd w:val="clear" w:color="auto" w:fill="FFFFFF"/>
        </w:rPr>
      </w:pPr>
    </w:p>
    <w:p w14:paraId="6AFF398E" w14:textId="77777777" w:rsidR="00752A49" w:rsidRPr="00752A49" w:rsidRDefault="00752A49" w:rsidP="00752A49">
      <w:pPr>
        <w:spacing w:line="360" w:lineRule="auto"/>
        <w:rPr>
          <w:color w:val="212121"/>
          <w:shd w:val="clear" w:color="auto" w:fill="FFFFFF"/>
        </w:rPr>
      </w:pPr>
      <w:r w:rsidRPr="00752A49">
        <w:rPr>
          <w:color w:val="212121"/>
          <w:shd w:val="clear" w:color="auto" w:fill="FFFFFF"/>
        </w:rPr>
        <w:t>The ABBA/BABA test examines alleles present exclusively in P3 and in either P1 (ABBA pattern) or P2 (BABA pattern). Both patterns could arise from incomplete lineage sorting or gene flow between P3 and the other population. Significantly more ABBA patterns than BABA patterns suggest gene flow between P2 and P3 (and vice versa). The D statistic, generated by this test, represents the ratio of ABBA patterns minus BABA patterns divided by the sum of ABBA and BABA patterns (Durand et al., 2011).</w:t>
      </w:r>
    </w:p>
    <w:p w14:paraId="5C4FFD3D" w14:textId="77777777" w:rsidR="00752A49" w:rsidRPr="00752A49" w:rsidRDefault="00752A49" w:rsidP="00752A49">
      <w:pPr>
        <w:spacing w:line="360" w:lineRule="auto"/>
        <w:rPr>
          <w:color w:val="212121"/>
          <w:shd w:val="clear" w:color="auto" w:fill="FFFFFF"/>
        </w:rPr>
      </w:pPr>
    </w:p>
    <w:p w14:paraId="149D646F" w14:textId="088771CB" w:rsidR="00A129D3" w:rsidRDefault="00396084" w:rsidP="00752A49">
      <w:pPr>
        <w:spacing w:line="360" w:lineRule="auto"/>
        <w:rPr>
          <w:color w:val="212121"/>
          <w:shd w:val="clear" w:color="auto" w:fill="FFFFFF"/>
        </w:rPr>
      </w:pPr>
      <w:r w:rsidRPr="00396084">
        <w:rPr>
          <w:color w:val="212121"/>
          <w:shd w:val="clear" w:color="auto" w:fill="FFFFFF"/>
        </w:rPr>
        <w:t>D ranges from zero (no introgression) to one (complete introgression)</w:t>
      </w:r>
      <w:r w:rsidR="00752A49" w:rsidRPr="00752A49">
        <w:rPr>
          <w:color w:val="212121"/>
          <w:shd w:val="clear" w:color="auto" w:fill="FFFFFF"/>
        </w:rPr>
        <w:t xml:space="preserve">. </w:t>
      </w:r>
      <w:r w:rsidR="00752A49" w:rsidRPr="00396084">
        <w:rPr>
          <w:color w:val="212121"/>
          <w:highlight w:val="darkGray"/>
          <w:shd w:val="clear" w:color="auto" w:fill="FFFFFF"/>
        </w:rPr>
        <w:t>In our study, we focused solely on gene flow between P2 and P3 for clarity</w:t>
      </w:r>
      <w:r w:rsidR="00752A49" w:rsidRPr="00752A49">
        <w:rPr>
          <w:color w:val="212121"/>
          <w:shd w:val="clear" w:color="auto" w:fill="FFFFFF"/>
        </w:rPr>
        <w:t xml:space="preserve">. The magnitude of D is proportionate to the extent of gene flow between P3 and the other population, although it may be underestimated if there is gene flow between P1 and P2 (Durand et al., 2011). We executed these tests in </w:t>
      </w:r>
      <w:r w:rsidR="003C0107" w:rsidRPr="003C0107">
        <w:rPr>
          <w:color w:val="212121"/>
          <w:shd w:val="clear" w:color="auto" w:fill="FFFFFF"/>
        </w:rPr>
        <w:t>Bash scripting</w:t>
      </w:r>
      <w:r w:rsidR="00752A49" w:rsidRPr="00752A49">
        <w:rPr>
          <w:color w:val="212121"/>
          <w:shd w:val="clear" w:color="auto" w:fill="FFFFFF"/>
        </w:rPr>
        <w:t xml:space="preserve">, utilizing scripts developed by </w:t>
      </w:r>
      <w:r w:rsidR="003C0107">
        <w:rPr>
          <w:color w:val="212121"/>
          <w:shd w:val="clear" w:color="auto" w:fill="FFFFFF"/>
        </w:rPr>
        <w:t>Ethan Gyllenhaal</w:t>
      </w:r>
      <w:r w:rsidR="00752A49" w:rsidRPr="00752A49">
        <w:rPr>
          <w:color w:val="212121"/>
          <w:shd w:val="clear" w:color="auto" w:fill="FFFFFF"/>
        </w:rPr>
        <w:t xml:space="preserve"> </w:t>
      </w:r>
      <w:r w:rsidR="003C0107">
        <w:rPr>
          <w:color w:val="212121"/>
          <w:shd w:val="clear" w:color="auto" w:fill="FFFFFF"/>
        </w:rPr>
        <w:t>(</w:t>
      </w:r>
      <w:r w:rsidR="003C0107" w:rsidRPr="003C0107">
        <w:rPr>
          <w:color w:val="212121"/>
          <w:highlight w:val="darkGray"/>
          <w:shd w:val="clear" w:color="auto" w:fill="FFFFFF"/>
        </w:rPr>
        <w:t>https://github.com/ethangyllenhaal</w:t>
      </w:r>
      <w:r w:rsidR="00752A49" w:rsidRPr="00752A49">
        <w:rPr>
          <w:color w:val="212121"/>
          <w:shd w:val="clear" w:color="auto" w:fill="FFFFFF"/>
        </w:rPr>
        <w:t>), along with custom bootstrapping functions.</w:t>
      </w:r>
    </w:p>
    <w:p w14:paraId="072E6CEE" w14:textId="77777777" w:rsidR="006A2C67" w:rsidRPr="001F0226" w:rsidRDefault="006A2C67" w:rsidP="006A2C67">
      <w:pPr>
        <w:rPr>
          <w:b/>
          <w:bCs/>
        </w:rPr>
      </w:pPr>
    </w:p>
    <w:p w14:paraId="1F5CF27D" w14:textId="733ADD45" w:rsidR="001F0226" w:rsidRDefault="001F0226" w:rsidP="006A2C67">
      <w:pPr>
        <w:rPr>
          <w:b/>
          <w:bCs/>
        </w:rPr>
      </w:pPr>
      <w:r w:rsidRPr="001F0226">
        <w:rPr>
          <w:b/>
          <w:bCs/>
        </w:rPr>
        <w:t>Results</w:t>
      </w:r>
    </w:p>
    <w:p w14:paraId="450297AB" w14:textId="703E2720" w:rsidR="006B6A4F" w:rsidRDefault="006B6A4F" w:rsidP="006B6A4F">
      <w:pPr>
        <w:pStyle w:val="ListParagraph"/>
        <w:numPr>
          <w:ilvl w:val="0"/>
          <w:numId w:val="1"/>
        </w:numPr>
        <w:rPr>
          <w:b/>
          <w:bCs/>
        </w:rPr>
      </w:pPr>
      <w:r>
        <w:rPr>
          <w:b/>
          <w:bCs/>
        </w:rPr>
        <w:t>Stacks</w:t>
      </w:r>
    </w:p>
    <w:p w14:paraId="305A4067" w14:textId="1165830B" w:rsidR="006B6A4F" w:rsidRDefault="006B6A4F" w:rsidP="006B6A4F">
      <w:pPr>
        <w:pStyle w:val="ListParagraph"/>
      </w:pPr>
      <w:r>
        <w:lastRenderedPageBreak/>
        <w:t xml:space="preserve">After cleaning the first data set consisted in all New Mexico samples with the Reno ones included in a filtered SNP data sets containing 33 and original samples, filtered from </w:t>
      </w:r>
      <w:r w:rsidRPr="003C79A7">
        <w:t>22</w:t>
      </w:r>
      <w:r>
        <w:t>,</w:t>
      </w:r>
      <w:r w:rsidRPr="003C79A7">
        <w:t>412</w:t>
      </w:r>
      <w:r>
        <w:t xml:space="preserve"> to </w:t>
      </w:r>
      <w:r w:rsidRPr="003C79A7">
        <w:t>14,102 variants</w:t>
      </w:r>
      <w:r>
        <w:t xml:space="preserve"> with </w:t>
      </w:r>
      <w:r w:rsidRPr="001449CA">
        <w:t>12.</w:t>
      </w:r>
      <w:r>
        <w:t xml:space="preserve">42% overall missing data. The second dataset included all New Mexico samples without the three Reno ones. The initial 30 samples were retained and contained </w:t>
      </w:r>
      <w:r w:rsidRPr="003C79A7">
        <w:t>26</w:t>
      </w:r>
      <w:r>
        <w:t>,</w:t>
      </w:r>
      <w:r w:rsidRPr="003C79A7">
        <w:t>337</w:t>
      </w:r>
      <w:r>
        <w:t xml:space="preserve"> sites</w:t>
      </w:r>
      <w:r w:rsidRPr="00BD7909">
        <w:t xml:space="preserve"> </w:t>
      </w:r>
      <w:r>
        <w:t xml:space="preserve">filtered down to </w:t>
      </w:r>
      <w:r w:rsidRPr="001C20CC">
        <w:t>15,706</w:t>
      </w:r>
      <w:r>
        <w:t xml:space="preserve"> with </w:t>
      </w:r>
      <w:r w:rsidRPr="001C20CC">
        <w:t>13,706%</w:t>
      </w:r>
      <w:r>
        <w:t xml:space="preserve"> missing data.</w:t>
      </w:r>
    </w:p>
    <w:p w14:paraId="7B1C1EF9" w14:textId="3AF90BE9" w:rsidR="00455786" w:rsidRDefault="00455786" w:rsidP="00455786">
      <w:pPr>
        <w:pStyle w:val="ListParagraph"/>
        <w:numPr>
          <w:ilvl w:val="0"/>
          <w:numId w:val="1"/>
        </w:numPr>
        <w:rPr>
          <w:b/>
          <w:bCs/>
        </w:rPr>
      </w:pPr>
      <w:r w:rsidRPr="00455786">
        <w:rPr>
          <w:b/>
          <w:bCs/>
        </w:rPr>
        <w:t>Phylogenetics</w:t>
      </w:r>
    </w:p>
    <w:p w14:paraId="6F1652DE" w14:textId="2C2C6509" w:rsidR="00455786" w:rsidRPr="00455786" w:rsidRDefault="00455786" w:rsidP="00455786">
      <w:pPr>
        <w:pStyle w:val="ListParagraph"/>
      </w:pPr>
      <w:r w:rsidRPr="00455786">
        <w:t xml:space="preserve">Mitochondrial and nuclear data showed conflicting relationships across the </w:t>
      </w:r>
      <w:r w:rsidRPr="00F96CF6">
        <w:rPr>
          <w:i/>
          <w:iCs/>
          <w:color w:val="000000"/>
          <w:shd w:val="clear" w:color="auto" w:fill="FFFFFF"/>
        </w:rPr>
        <w:t xml:space="preserve">A. </w:t>
      </w:r>
      <w:proofErr w:type="spellStart"/>
      <w:r w:rsidRPr="00F96CF6">
        <w:rPr>
          <w:i/>
          <w:iCs/>
          <w:color w:val="000000"/>
          <w:shd w:val="clear" w:color="auto" w:fill="FFFFFF"/>
        </w:rPr>
        <w:t>trixa</w:t>
      </w:r>
      <w:proofErr w:type="spellEnd"/>
      <w:r w:rsidRPr="00F96CF6">
        <w:rPr>
          <w:color w:val="000000"/>
          <w:shd w:val="clear" w:color="auto" w:fill="FFFFFF"/>
        </w:rPr>
        <w:t xml:space="preserve"> and </w:t>
      </w:r>
      <w:r w:rsidRPr="00F96CF6">
        <w:rPr>
          <w:i/>
          <w:iCs/>
          <w:color w:val="000000"/>
          <w:shd w:val="clear" w:color="auto" w:fill="FFFFFF"/>
        </w:rPr>
        <w:t xml:space="preserve">A. </w:t>
      </w:r>
      <w:proofErr w:type="spellStart"/>
      <w:r w:rsidRPr="00F96CF6">
        <w:rPr>
          <w:i/>
          <w:iCs/>
          <w:color w:val="000000"/>
          <w:shd w:val="clear" w:color="auto" w:fill="FFFFFF"/>
        </w:rPr>
        <w:t>bigloviae</w:t>
      </w:r>
      <w:proofErr w:type="spellEnd"/>
      <w:r w:rsidRPr="00455786">
        <w:t xml:space="preserve"> species</w:t>
      </w:r>
      <w:r>
        <w:t>/groups</w:t>
      </w:r>
      <w:r w:rsidRPr="00455786">
        <w:t>.</w:t>
      </w:r>
    </w:p>
    <w:p w14:paraId="664CB6C4" w14:textId="34351BD8" w:rsidR="006B6A4F" w:rsidRPr="00E64C29" w:rsidRDefault="006B6A4F" w:rsidP="006B6A4F">
      <w:pPr>
        <w:pStyle w:val="ListParagraph"/>
        <w:numPr>
          <w:ilvl w:val="0"/>
          <w:numId w:val="1"/>
        </w:numPr>
        <w:rPr>
          <w:b/>
          <w:bCs/>
        </w:rPr>
      </w:pPr>
      <w:r w:rsidRPr="00E64C29">
        <w:rPr>
          <w:b/>
          <w:bCs/>
        </w:rPr>
        <w:t xml:space="preserve">PCA, </w:t>
      </w:r>
      <w:proofErr w:type="spellStart"/>
      <w:r w:rsidRPr="00E64C29">
        <w:rPr>
          <w:b/>
          <w:bCs/>
        </w:rPr>
        <w:t>sNMF</w:t>
      </w:r>
      <w:proofErr w:type="spellEnd"/>
      <w:r w:rsidRPr="00E64C29">
        <w:rPr>
          <w:b/>
          <w:bCs/>
        </w:rPr>
        <w:t xml:space="preserve"> and Fst</w:t>
      </w:r>
    </w:p>
    <w:p w14:paraId="057A95C7" w14:textId="79D0C92E" w:rsidR="006B6A4F" w:rsidRDefault="006B6A4F" w:rsidP="006B6A4F">
      <w:pPr>
        <w:pStyle w:val="ListParagraph"/>
      </w:pPr>
      <w:r w:rsidRPr="006B6A4F">
        <w:t xml:space="preserve">Our results indicated </w:t>
      </w:r>
      <w:r>
        <w:t xml:space="preserve">all different gall phenotypes, smooth, cotton and </w:t>
      </w:r>
      <w:proofErr w:type="spellStart"/>
      <w:r>
        <w:t>Notata</w:t>
      </w:r>
      <w:proofErr w:type="spellEnd"/>
      <w:r>
        <w:t xml:space="preserve"> are </w:t>
      </w:r>
      <w:r w:rsidR="00D64462">
        <w:t xml:space="preserve">three </w:t>
      </w:r>
      <w:r>
        <w:t xml:space="preserve">independent genetic clusters regardless of location. </w:t>
      </w:r>
    </w:p>
    <w:p w14:paraId="0EA2FA44" w14:textId="29A3C4C5" w:rsidR="00DE5BA0" w:rsidRDefault="00B90BBF" w:rsidP="00E710A8">
      <w:pPr>
        <w:pStyle w:val="ListParagraph"/>
      </w:pPr>
      <w:r w:rsidRPr="00B90BBF">
        <w:t xml:space="preserve">Our </w:t>
      </w:r>
      <w:proofErr w:type="spellStart"/>
      <w:r w:rsidRPr="00B90BBF">
        <w:t>sMNF</w:t>
      </w:r>
      <w:proofErr w:type="spellEnd"/>
      <w:r w:rsidRPr="00B90BBF">
        <w:t xml:space="preserve"> analyses </w:t>
      </w:r>
      <w:r>
        <w:t>show</w:t>
      </w:r>
      <w:r w:rsidRPr="00B90BBF">
        <w:t xml:space="preserve"> structure across </w:t>
      </w:r>
      <w:r>
        <w:t>the</w:t>
      </w:r>
      <w:r w:rsidRPr="00B90BBF">
        <w:t xml:space="preserve"> study system and that all </w:t>
      </w:r>
      <w:proofErr w:type="spellStart"/>
      <w:r>
        <w:t>Aciurina</w:t>
      </w:r>
      <w:proofErr w:type="spellEnd"/>
      <w:r>
        <w:t xml:space="preserve"> species included</w:t>
      </w:r>
      <w:r w:rsidRPr="00B90BBF">
        <w:t xml:space="preserve"> are distinct </w:t>
      </w:r>
      <w:r>
        <w:t>contradicting?</w:t>
      </w:r>
      <w:r w:rsidRPr="00B90BBF">
        <w:t xml:space="preserve"> mitochondrial </w:t>
      </w:r>
      <w:r>
        <w:t>DNA</w:t>
      </w:r>
      <w:r w:rsidRPr="00B90BBF">
        <w:t>. Because k optimization is often conservative and can be unreliable (</w:t>
      </w:r>
      <w:r w:rsidRPr="00B90BBF">
        <w:rPr>
          <w:highlight w:val="darkGray"/>
        </w:rPr>
        <w:t>Kalinowski, 2011</w:t>
      </w:r>
      <w:r w:rsidRPr="00B90BBF">
        <w:t>), we included analyses from a range of k (</w:t>
      </w:r>
      <w:r>
        <w:t>2</w:t>
      </w:r>
      <w:r w:rsidRPr="00B90BBF">
        <w:t>–</w:t>
      </w:r>
      <w:r>
        <w:t>5</w:t>
      </w:r>
      <w:r w:rsidRPr="00B90BBF">
        <w:t>)</w:t>
      </w:r>
      <w:r w:rsidR="00B320E6">
        <w:t xml:space="preserve">. </w:t>
      </w:r>
      <w:proofErr w:type="spellStart"/>
      <w:r w:rsidR="00B320E6">
        <w:t>As</w:t>
      </w:r>
      <w:r>
        <w:t xml:space="preserve"> k</w:t>
      </w:r>
      <w:proofErr w:type="spellEnd"/>
      <w:r w:rsidR="00B320E6">
        <w:t xml:space="preserve"> is increased (k=4 and K=5),</w:t>
      </w:r>
      <w:r w:rsidRPr="00B90BBF">
        <w:t xml:space="preserve"> </w:t>
      </w:r>
      <w:r>
        <w:t>populations</w:t>
      </w:r>
      <w:r w:rsidRPr="00B90BBF">
        <w:t xml:space="preserve"> </w:t>
      </w:r>
      <w:r w:rsidR="00B320E6">
        <w:t>start parsing</w:t>
      </w:r>
      <w:r w:rsidR="00B320E6" w:rsidRPr="00B90BBF">
        <w:t xml:space="preserve"> </w:t>
      </w:r>
      <w:r w:rsidRPr="00B90BBF">
        <w:t>geographically</w:t>
      </w:r>
      <w:r w:rsidR="00B320E6">
        <w:t xml:space="preserve"> within phenotype</w:t>
      </w:r>
      <w:r w:rsidRPr="00B90BBF">
        <w:t xml:space="preserve">. For example, at k = </w:t>
      </w:r>
      <w:r>
        <w:t>3</w:t>
      </w:r>
      <w:r w:rsidRPr="00B90BBF">
        <w:t xml:space="preserve">, all </w:t>
      </w:r>
      <w:r>
        <w:t>three species are separated, but at k = 4 cotton populations from northern and southern New Mexico start to be separated and at k = 5, this happens with the smooth populations as well.</w:t>
      </w:r>
    </w:p>
    <w:p w14:paraId="28058099" w14:textId="41777AF4" w:rsidR="005D0263" w:rsidRDefault="005D0263" w:rsidP="00E710A8">
      <w:pPr>
        <w:pStyle w:val="ListParagraph"/>
      </w:pPr>
      <w:r>
        <w:t>***</w:t>
      </w:r>
      <w:r w:rsidR="00B320E6">
        <w:t xml:space="preserve">For Fst values, </w:t>
      </w:r>
      <w:r>
        <w:t>in the other diagonal we can put mitochondrial distances.</w:t>
      </w:r>
    </w:p>
    <w:p w14:paraId="6DA3D291" w14:textId="6CF10F4D" w:rsidR="00E64C29" w:rsidRDefault="00E64C29" w:rsidP="00545CCE"/>
    <w:p w14:paraId="738842E7" w14:textId="0413CA33" w:rsidR="00545CCE" w:rsidRDefault="00DE5BA0" w:rsidP="00DE5BA0">
      <w:r>
        <w:rPr>
          <w:b/>
        </w:rPr>
        <w:t>F</w:t>
      </w:r>
      <w:r w:rsidRPr="00F2445C">
        <w:rPr>
          <w:b/>
        </w:rPr>
        <w:t xml:space="preserve">igure </w:t>
      </w:r>
      <w:r>
        <w:rPr>
          <w:b/>
        </w:rPr>
        <w:t>SNMF</w:t>
      </w:r>
      <w:r w:rsidRPr="00F2445C">
        <w:rPr>
          <w:b/>
        </w:rPr>
        <w:t xml:space="preserve">. </w:t>
      </w:r>
      <w:r w:rsidRPr="00F2445C">
        <w:t xml:space="preserve">No evidence of recent hybridization in nuclear genomes between </w:t>
      </w:r>
      <w:r w:rsidRPr="00F96CF6">
        <w:rPr>
          <w:i/>
          <w:iCs/>
          <w:color w:val="000000"/>
          <w:shd w:val="clear" w:color="auto" w:fill="FFFFFF"/>
        </w:rPr>
        <w:t xml:space="preserve">A. </w:t>
      </w:r>
      <w:proofErr w:type="spellStart"/>
      <w:r w:rsidRPr="00F96CF6">
        <w:rPr>
          <w:i/>
          <w:iCs/>
          <w:color w:val="000000"/>
          <w:shd w:val="clear" w:color="auto" w:fill="FFFFFF"/>
        </w:rPr>
        <w:t>trixa</w:t>
      </w:r>
      <w:proofErr w:type="spellEnd"/>
      <w:r w:rsidRPr="00F96CF6">
        <w:rPr>
          <w:color w:val="000000"/>
          <w:shd w:val="clear" w:color="auto" w:fill="FFFFFF"/>
        </w:rPr>
        <w:t xml:space="preserve"> and </w:t>
      </w:r>
      <w:r w:rsidRPr="00F96CF6">
        <w:rPr>
          <w:i/>
          <w:iCs/>
          <w:color w:val="000000"/>
          <w:shd w:val="clear" w:color="auto" w:fill="FFFFFF"/>
        </w:rPr>
        <w:t xml:space="preserve">A. </w:t>
      </w:r>
      <w:proofErr w:type="spellStart"/>
      <w:r w:rsidRPr="00F96CF6">
        <w:rPr>
          <w:i/>
          <w:iCs/>
          <w:color w:val="000000"/>
          <w:shd w:val="clear" w:color="auto" w:fill="FFFFFF"/>
        </w:rPr>
        <w:t>bigloviae</w:t>
      </w:r>
      <w:proofErr w:type="spellEnd"/>
      <w:r>
        <w:rPr>
          <w:color w:val="000000"/>
          <w:shd w:val="clear" w:color="auto" w:fill="FFFFFF"/>
        </w:rPr>
        <w:t xml:space="preserve"> </w:t>
      </w:r>
      <w:r w:rsidRPr="00F2445C">
        <w:t>individuals</w:t>
      </w:r>
      <w:r>
        <w:t>. INCLUDE MAP and PCA IN THIS FIGURE? SNMF:</w:t>
      </w:r>
      <w:r w:rsidRPr="00F2445C">
        <w:t xml:space="preserve"> Population assignment plots generated in </w:t>
      </w:r>
      <w:proofErr w:type="spellStart"/>
      <w:r w:rsidRPr="00F2445C">
        <w:t>sNMF</w:t>
      </w:r>
      <w:proofErr w:type="spellEnd"/>
      <w:r w:rsidRPr="00F2445C">
        <w:t xml:space="preserve"> of </w:t>
      </w:r>
      <w:proofErr w:type="gramStart"/>
      <w:r>
        <w:t>each individual</w:t>
      </w:r>
      <w:proofErr w:type="gramEnd"/>
      <w:r w:rsidR="00E64C29">
        <w:t>.</w:t>
      </w:r>
      <w:r w:rsidR="00216262">
        <w:t xml:space="preserve"> ***Include (1) </w:t>
      </w:r>
      <w:r w:rsidR="00216262" w:rsidRPr="00216262">
        <w:t xml:space="preserve">Variance explained across different values of m </w:t>
      </w:r>
      <w:r w:rsidR="00216262">
        <w:t xml:space="preserve">(likelihood values) </w:t>
      </w:r>
      <w:r w:rsidR="00216262" w:rsidRPr="00216262">
        <w:t xml:space="preserve">and </w:t>
      </w:r>
      <w:r w:rsidR="00216262">
        <w:t>(2)</w:t>
      </w:r>
      <w:r w:rsidR="00216262" w:rsidRPr="00216262">
        <w:t xml:space="preserve"> delta m spike supporting the optimal migrations at m = 1.</w:t>
      </w:r>
      <w:r w:rsidR="00216262">
        <w:t xml:space="preserve"> </w:t>
      </w:r>
    </w:p>
    <w:p w14:paraId="730869CC" w14:textId="5A7E3528" w:rsidR="00E64C29" w:rsidRDefault="00E64C29" w:rsidP="00DE5BA0"/>
    <w:p w14:paraId="10D94238" w14:textId="494E5E73" w:rsidR="00E64C29" w:rsidRPr="00E64C29" w:rsidRDefault="00E64C29" w:rsidP="00DE5BA0">
      <w:pPr>
        <w:rPr>
          <w:b/>
          <w:bCs/>
        </w:rPr>
      </w:pPr>
      <w:r w:rsidRPr="00E64C29">
        <w:rPr>
          <w:b/>
          <w:bCs/>
        </w:rPr>
        <w:t>Figure Fst</w:t>
      </w:r>
      <w:r>
        <w:rPr>
          <w:b/>
          <w:bCs/>
        </w:rPr>
        <w:t xml:space="preserve">. </w:t>
      </w:r>
      <w:r>
        <w:t>F</w:t>
      </w:r>
      <w:r w:rsidRPr="00E64C29">
        <w:t>ixation index statistics between clusters are shown in the matrix</w:t>
      </w:r>
      <w:r>
        <w:t>.</w:t>
      </w:r>
      <w:r w:rsidR="002B6C51">
        <w:t xml:space="preserve"> </w:t>
      </w:r>
      <w:r>
        <w:t xml:space="preserve">Warmer colors show a higher Fst value indicating more differentiation between groups whereas cooler colors indicate less differentiation/more proximity. </w:t>
      </w:r>
    </w:p>
    <w:p w14:paraId="6B4770C7" w14:textId="77777777" w:rsidR="00DE5BA0" w:rsidRDefault="00DE5BA0" w:rsidP="006B6A4F">
      <w:pPr>
        <w:pStyle w:val="ListParagraph"/>
      </w:pPr>
    </w:p>
    <w:p w14:paraId="0192D7B3" w14:textId="0C735A6A" w:rsidR="006B6A4F" w:rsidRPr="00E64C29" w:rsidRDefault="00901F19" w:rsidP="00FB67E2">
      <w:pPr>
        <w:pStyle w:val="ListParagraph"/>
        <w:numPr>
          <w:ilvl w:val="0"/>
          <w:numId w:val="1"/>
        </w:numPr>
        <w:rPr>
          <w:b/>
          <w:bCs/>
        </w:rPr>
      </w:pPr>
      <w:proofErr w:type="spellStart"/>
      <w:r w:rsidRPr="00E64C29">
        <w:rPr>
          <w:b/>
          <w:bCs/>
        </w:rPr>
        <w:t>Treemix</w:t>
      </w:r>
      <w:proofErr w:type="spellEnd"/>
    </w:p>
    <w:p w14:paraId="66ADEEE9" w14:textId="6CB38450" w:rsidR="00F96CF6" w:rsidRPr="00F96CF6" w:rsidRDefault="0007527A" w:rsidP="00E64C29">
      <w:pPr>
        <w:pStyle w:val="ListParagraph"/>
        <w:rPr>
          <w:color w:val="000000"/>
          <w:shd w:val="clear" w:color="auto" w:fill="FFFFFF"/>
        </w:rPr>
      </w:pPr>
      <w:r>
        <w:rPr>
          <w:color w:val="000000"/>
          <w:shd w:val="clear" w:color="auto" w:fill="FFFFFF"/>
        </w:rPr>
        <w:t>Ran models</w:t>
      </w:r>
      <w:r w:rsidR="003E2B29">
        <w:rPr>
          <w:color w:val="000000"/>
          <w:shd w:val="clear" w:color="auto" w:fill="FFFFFF"/>
        </w:rPr>
        <w:t xml:space="preserve"> with 0 </w:t>
      </w:r>
      <w:r>
        <w:rPr>
          <w:color w:val="000000"/>
          <w:shd w:val="clear" w:color="auto" w:fill="FFFFFF"/>
        </w:rPr>
        <w:t xml:space="preserve">to 3 </w:t>
      </w:r>
      <w:r>
        <w:rPr>
          <w:color w:val="000000"/>
          <w:shd w:val="clear" w:color="auto" w:fill="FFFFFF"/>
        </w:rPr>
        <w:t>migration</w:t>
      </w:r>
      <w:r>
        <w:rPr>
          <w:color w:val="000000"/>
          <w:shd w:val="clear" w:color="auto" w:fill="FFFFFF"/>
        </w:rPr>
        <w:t xml:space="preserve"> edges</w:t>
      </w:r>
      <w:r w:rsidR="00070A13">
        <w:rPr>
          <w:color w:val="000000"/>
          <w:shd w:val="clear" w:color="auto" w:fill="FFFFFF"/>
        </w:rPr>
        <w:t xml:space="preserve"> (Figure </w:t>
      </w:r>
      <w:proofErr w:type="spellStart"/>
      <w:r w:rsidR="00070A13">
        <w:rPr>
          <w:color w:val="000000"/>
          <w:shd w:val="clear" w:color="auto" w:fill="FFFFFF"/>
        </w:rPr>
        <w:t>Treemix</w:t>
      </w:r>
      <w:proofErr w:type="spellEnd"/>
      <w:r w:rsidR="00070A13">
        <w:rPr>
          <w:color w:val="000000"/>
          <w:shd w:val="clear" w:color="auto" w:fill="FFFFFF"/>
        </w:rPr>
        <w:t>)</w:t>
      </w:r>
      <w:r w:rsidR="00901F19" w:rsidRPr="00F96CF6">
        <w:rPr>
          <w:color w:val="000000"/>
          <w:shd w:val="clear" w:color="auto" w:fill="FFFFFF"/>
        </w:rPr>
        <w:t>.</w:t>
      </w:r>
    </w:p>
    <w:p w14:paraId="2E69BB1B" w14:textId="0AE52F5A" w:rsidR="00F96CF6" w:rsidRPr="00F96CF6" w:rsidRDefault="00F96CF6" w:rsidP="00E64C29">
      <w:pPr>
        <w:pStyle w:val="ListParagraph"/>
        <w:rPr>
          <w:color w:val="000000"/>
          <w:shd w:val="clear" w:color="auto" w:fill="FFFFFF"/>
        </w:rPr>
      </w:pPr>
      <w:r w:rsidRPr="00F96CF6">
        <w:rPr>
          <w:color w:val="000000"/>
          <w:shd w:val="clear" w:color="auto" w:fill="FFFFFF"/>
        </w:rPr>
        <w:t>For migration edges, a weight close to 1 indicates strong gene flow or migration between the populations. A weight close to 0 suggests limited or no gene flow. Migration edges ranged from 0.0</w:t>
      </w:r>
      <w:r w:rsidR="0007527A">
        <w:rPr>
          <w:color w:val="000000"/>
          <w:shd w:val="clear" w:color="auto" w:fill="FFFFFF"/>
        </w:rPr>
        <w:t>18</w:t>
      </w:r>
      <w:r w:rsidRPr="00F96CF6">
        <w:rPr>
          <w:color w:val="000000"/>
          <w:shd w:val="clear" w:color="auto" w:fill="FFFFFF"/>
        </w:rPr>
        <w:t xml:space="preserve"> to </w:t>
      </w:r>
      <w:r w:rsidR="0007527A">
        <w:rPr>
          <w:color w:val="000000"/>
          <w:shd w:val="clear" w:color="auto" w:fill="FFFFFF"/>
        </w:rPr>
        <w:t>0</w:t>
      </w:r>
      <w:r w:rsidRPr="00F96CF6">
        <w:rPr>
          <w:color w:val="000000"/>
          <w:shd w:val="clear" w:color="auto" w:fill="FFFFFF"/>
        </w:rPr>
        <w:t>.</w:t>
      </w:r>
      <w:r w:rsidR="0007527A">
        <w:rPr>
          <w:color w:val="000000"/>
          <w:shd w:val="clear" w:color="auto" w:fill="FFFFFF"/>
        </w:rPr>
        <w:t>067</w:t>
      </w:r>
      <w:r w:rsidRPr="00F96CF6">
        <w:rPr>
          <w:color w:val="000000"/>
          <w:shd w:val="clear" w:color="auto" w:fill="FFFFFF"/>
        </w:rPr>
        <w:t xml:space="preserve">. </w:t>
      </w:r>
      <w:r w:rsidR="00070A13">
        <w:rPr>
          <w:color w:val="000000"/>
          <w:shd w:val="clear" w:color="auto" w:fill="FFFFFF"/>
        </w:rPr>
        <w:t xml:space="preserve">Two out of three </w:t>
      </w:r>
      <w:r w:rsidRPr="00F96CF6">
        <w:rPr>
          <w:color w:val="000000"/>
          <w:shd w:val="clear" w:color="auto" w:fill="FFFFFF"/>
        </w:rPr>
        <w:t>p-values were below 0.05 in model 3 (</w:t>
      </w:r>
      <w:r w:rsidR="0007527A">
        <w:rPr>
          <w:color w:val="000000"/>
          <w:shd w:val="clear" w:color="auto" w:fill="FFFFFF"/>
        </w:rPr>
        <w:t xml:space="preserve">3 </w:t>
      </w:r>
      <w:r w:rsidRPr="00F96CF6">
        <w:rPr>
          <w:color w:val="000000"/>
          <w:shd w:val="clear" w:color="auto" w:fill="FFFFFF"/>
        </w:rPr>
        <w:t xml:space="preserve">migration </w:t>
      </w:r>
      <w:r w:rsidR="0007527A">
        <w:rPr>
          <w:color w:val="000000"/>
          <w:shd w:val="clear" w:color="auto" w:fill="FFFFFF"/>
        </w:rPr>
        <w:t>events).</w:t>
      </w:r>
      <w:r w:rsidR="00070A13">
        <w:rPr>
          <w:color w:val="000000"/>
          <w:shd w:val="clear" w:color="auto" w:fill="FFFFFF"/>
        </w:rPr>
        <w:t xml:space="preserve"> Weight suggests that ~2% and ~7% of the genome is shared between the groups. (</w:t>
      </w:r>
      <w:proofErr w:type="spellStart"/>
      <w:r w:rsidR="00070A13">
        <w:rPr>
          <w:color w:val="000000"/>
          <w:shd w:val="clear" w:color="auto" w:fill="FFFFFF"/>
        </w:rPr>
        <w:t>Treemix</w:t>
      </w:r>
      <w:proofErr w:type="spellEnd"/>
      <w:r w:rsidR="00070A13">
        <w:rPr>
          <w:color w:val="000000"/>
          <w:shd w:val="clear" w:color="auto" w:fill="FFFFFF"/>
        </w:rPr>
        <w:t xml:space="preserve"> table)</w:t>
      </w:r>
    </w:p>
    <w:p w14:paraId="23BC16D1" w14:textId="37E3EA6E" w:rsidR="00F96CF6" w:rsidRPr="00E64C29" w:rsidRDefault="00070A13" w:rsidP="00D0413E">
      <w:pPr>
        <w:ind w:left="720"/>
        <w:rPr>
          <w:color w:val="000000"/>
          <w:shd w:val="clear" w:color="auto" w:fill="FFFFFF"/>
        </w:rPr>
      </w:pPr>
      <w:r>
        <w:rPr>
          <w:color w:val="000000"/>
          <w:shd w:val="clear" w:color="auto" w:fill="FFFFFF"/>
        </w:rPr>
        <w:t>Suggested gene</w:t>
      </w:r>
      <w:r w:rsidR="00901F19" w:rsidRPr="00E64C29">
        <w:rPr>
          <w:color w:val="000000"/>
          <w:shd w:val="clear" w:color="auto" w:fill="FFFFFF"/>
        </w:rPr>
        <w:t xml:space="preserve"> flow between the </w:t>
      </w:r>
      <w:r>
        <w:rPr>
          <w:color w:val="000000"/>
          <w:shd w:val="clear" w:color="auto" w:fill="FFFFFF"/>
        </w:rPr>
        <w:t>RGG-S to RGG-C + TES-C, AND MAL-N + TES-N to RGG-C</w:t>
      </w:r>
      <w:r w:rsidR="00B971F8">
        <w:rPr>
          <w:color w:val="000000"/>
          <w:shd w:val="clear" w:color="auto" w:fill="FFFFFF"/>
        </w:rPr>
        <w:t>.</w:t>
      </w:r>
    </w:p>
    <w:p w14:paraId="2EE1C1A5" w14:textId="77777777" w:rsidR="00F96CF6" w:rsidRDefault="00901F19" w:rsidP="00E64C29">
      <w:pPr>
        <w:pStyle w:val="ListParagraph"/>
      </w:pPr>
      <w:proofErr w:type="spellStart"/>
      <w:r w:rsidRPr="00F96CF6">
        <w:rPr>
          <w:rStyle w:val="smallcaps"/>
          <w:smallCaps/>
          <w:color w:val="000000"/>
          <w:shd w:val="clear" w:color="auto" w:fill="FFFFFF"/>
        </w:rPr>
        <w:t>treemix</w:t>
      </w:r>
      <w:proofErr w:type="spellEnd"/>
      <w:r w:rsidRPr="00F96CF6">
        <w:rPr>
          <w:color w:val="000000"/>
          <w:shd w:val="clear" w:color="auto" w:fill="FFFFFF"/>
        </w:rPr>
        <w:t xml:space="preserve"> produced a topology concordant with </w:t>
      </w:r>
      <w:r w:rsidR="00F96CF6" w:rsidRPr="00F96CF6">
        <w:rPr>
          <w:color w:val="000000"/>
          <w:shd w:val="clear" w:color="auto" w:fill="FFFFFF"/>
        </w:rPr>
        <w:t xml:space="preserve">phylogeny </w:t>
      </w:r>
      <w:r w:rsidR="00F96CF6" w:rsidRPr="00F96CF6">
        <w:t>IQ-TREE.</w:t>
      </w:r>
    </w:p>
    <w:p w14:paraId="0B514335" w14:textId="3F58494C" w:rsidR="00B971F8" w:rsidRPr="00F96CF6" w:rsidRDefault="00B971F8" w:rsidP="00E64C29">
      <w:pPr>
        <w:pStyle w:val="ListParagraph"/>
        <w:rPr>
          <w:color w:val="000000"/>
          <w:shd w:val="clear" w:color="auto" w:fill="FFFFFF"/>
        </w:rPr>
      </w:pPr>
      <w:r>
        <w:rPr>
          <w:rStyle w:val="smallcaps"/>
          <w:smallCaps/>
          <w:color w:val="000000"/>
          <w:shd w:val="clear" w:color="auto" w:fill="FFFFFF"/>
        </w:rPr>
        <w:t>BUT edges coming from nodes are maybe just noise</w:t>
      </w:r>
    </w:p>
    <w:p w14:paraId="19179693" w14:textId="24C4B846" w:rsidR="00E64C29" w:rsidRDefault="00E64C29" w:rsidP="00545CCE"/>
    <w:p w14:paraId="2A898AA3" w14:textId="77777777" w:rsidR="00E64C29" w:rsidRDefault="00E64C29" w:rsidP="00E64C29">
      <w:pPr>
        <w:rPr>
          <w:color w:val="202020"/>
          <w:shd w:val="clear" w:color="auto" w:fill="EFEFEF"/>
        </w:rPr>
      </w:pPr>
      <w:r w:rsidRPr="00F2445C">
        <w:rPr>
          <w:b/>
        </w:rPr>
        <w:t xml:space="preserve">Figure </w:t>
      </w:r>
      <w:proofErr w:type="spellStart"/>
      <w:r>
        <w:rPr>
          <w:b/>
        </w:rPr>
        <w:t>Treemix</w:t>
      </w:r>
      <w:proofErr w:type="spellEnd"/>
      <w:r w:rsidRPr="00F2445C">
        <w:rPr>
          <w:b/>
        </w:rPr>
        <w:t xml:space="preserve">. </w:t>
      </w:r>
      <w:r w:rsidRPr="00F2445C">
        <w:t xml:space="preserve">Species trees estimated in </w:t>
      </w:r>
      <w:proofErr w:type="spellStart"/>
      <w:r w:rsidRPr="00F2445C">
        <w:t>TreeMix</w:t>
      </w:r>
      <w:proofErr w:type="spellEnd"/>
      <w:r w:rsidRPr="00F2445C">
        <w:t xml:space="preserve">. </w:t>
      </w:r>
      <w:r>
        <w:t>1</w:t>
      </w:r>
      <w:r w:rsidRPr="00F2445C">
        <w:t xml:space="preserve">. </w:t>
      </w:r>
      <w:proofErr w:type="spellStart"/>
      <w:r w:rsidRPr="00F2445C">
        <w:t>TreeMix</w:t>
      </w:r>
      <w:proofErr w:type="spellEnd"/>
      <w:r w:rsidRPr="00F2445C">
        <w:t xml:space="preserve"> species tree with no migration edges permitted. </w:t>
      </w:r>
      <w:r>
        <w:t>2-6</w:t>
      </w:r>
      <w:r w:rsidRPr="00F2445C">
        <w:t xml:space="preserve">. </w:t>
      </w:r>
      <w:r>
        <w:t>I</w:t>
      </w:r>
      <w:r w:rsidRPr="00F2445C">
        <w:t xml:space="preserve">nferred species tree with edges added </w:t>
      </w:r>
      <w:r>
        <w:t>from 1 to 5</w:t>
      </w:r>
      <w:r w:rsidRPr="00F2445C">
        <w:t xml:space="preserve">; Best-inferred species tree </w:t>
      </w:r>
      <w:r>
        <w:t xml:space="preserve">with highest likelihood score was 4, </w:t>
      </w:r>
      <w:r w:rsidRPr="00F2445C">
        <w:t xml:space="preserve">this edge </w:t>
      </w:r>
      <w:r>
        <w:t>p-value</w:t>
      </w:r>
      <w:r w:rsidRPr="00F2445C">
        <w:t xml:space="preserve"> (p=</w:t>
      </w:r>
      <w:r w:rsidRPr="00DE5BA0">
        <w:t xml:space="preserve"> 0.53</w:t>
      </w:r>
      <w:r w:rsidRPr="00F2445C">
        <w:t>).</w:t>
      </w:r>
      <w:r>
        <w:t xml:space="preserve"> </w:t>
      </w:r>
      <w:r w:rsidRPr="00F96CF6">
        <w:rPr>
          <w:color w:val="202020"/>
          <w:shd w:val="clear" w:color="auto" w:fill="EFEFEF"/>
        </w:rPr>
        <w:t xml:space="preserve">Scale bar shows 10 times </w:t>
      </w:r>
      <w:r w:rsidRPr="00F96CF6">
        <w:rPr>
          <w:color w:val="202020"/>
          <w:shd w:val="clear" w:color="auto" w:fill="EFEFEF"/>
        </w:rPr>
        <w:lastRenderedPageBreak/>
        <w:t>the average standard error of the estimated entries in the sample covariance matrix. Migration edges were colored according to percent ancestry received from the donor population.</w:t>
      </w:r>
    </w:p>
    <w:p w14:paraId="656DC1FE" w14:textId="77777777" w:rsidR="002B6C51" w:rsidRDefault="002B6C51" w:rsidP="00E64C29">
      <w:pPr>
        <w:rPr>
          <w:color w:val="202020"/>
          <w:shd w:val="clear" w:color="auto" w:fill="EFEFEF"/>
        </w:rPr>
      </w:pPr>
    </w:p>
    <w:p w14:paraId="35BEEC28" w14:textId="77777777" w:rsidR="002B6C51" w:rsidRDefault="002B6C51" w:rsidP="00E64C29">
      <w:pPr>
        <w:rPr>
          <w:color w:val="202020"/>
          <w:shd w:val="clear" w:color="auto" w:fill="EFEFEF"/>
        </w:rPr>
      </w:pPr>
    </w:p>
    <w:p w14:paraId="624A1252" w14:textId="496BA2F0" w:rsidR="00E64C29" w:rsidRDefault="002B6C51" w:rsidP="002B6C51">
      <w:pPr>
        <w:pStyle w:val="ListParagraph"/>
        <w:numPr>
          <w:ilvl w:val="0"/>
          <w:numId w:val="1"/>
        </w:numPr>
        <w:rPr>
          <w:b/>
          <w:bCs/>
          <w:color w:val="000000"/>
          <w:shd w:val="clear" w:color="auto" w:fill="FFFFFF"/>
        </w:rPr>
      </w:pPr>
      <w:proofErr w:type="spellStart"/>
      <w:r w:rsidRPr="002B6C51">
        <w:rPr>
          <w:b/>
          <w:bCs/>
          <w:color w:val="000000"/>
          <w:shd w:val="clear" w:color="auto" w:fill="FFFFFF"/>
        </w:rPr>
        <w:t>Dsuite</w:t>
      </w:r>
      <w:proofErr w:type="spellEnd"/>
    </w:p>
    <w:p w14:paraId="562D887B" w14:textId="77777777" w:rsidR="00E710A8" w:rsidRDefault="00E710A8" w:rsidP="00D0413E">
      <w:pPr>
        <w:rPr>
          <w:b/>
          <w:bCs/>
          <w:color w:val="000000"/>
          <w:shd w:val="clear" w:color="auto" w:fill="FFFFFF"/>
        </w:rPr>
      </w:pPr>
    </w:p>
    <w:p w14:paraId="4A5F8A60" w14:textId="550CB332" w:rsidR="00D0413E" w:rsidRDefault="00520168" w:rsidP="00D0413E">
      <w:pPr>
        <w:rPr>
          <w:color w:val="000000"/>
          <w:shd w:val="clear" w:color="auto" w:fill="FFFFFF"/>
        </w:rPr>
      </w:pPr>
      <w:r w:rsidRPr="00520168">
        <w:rPr>
          <w:b/>
          <w:bCs/>
          <w:color w:val="000000"/>
          <w:shd w:val="clear" w:color="auto" w:fill="FFFFFF"/>
        </w:rPr>
        <w:t xml:space="preserve">Figure </w:t>
      </w:r>
      <w:proofErr w:type="spellStart"/>
      <w:r w:rsidRPr="00520168">
        <w:rPr>
          <w:b/>
          <w:bCs/>
          <w:color w:val="000000"/>
          <w:shd w:val="clear" w:color="auto" w:fill="FFFFFF"/>
        </w:rPr>
        <w:t>Dsuite</w:t>
      </w:r>
      <w:proofErr w:type="spellEnd"/>
      <w:r w:rsidRPr="00520168">
        <w:rPr>
          <w:b/>
          <w:bCs/>
          <w:color w:val="000000"/>
          <w:shd w:val="clear" w:color="auto" w:fill="FFFFFF"/>
        </w:rPr>
        <w:t>.</w:t>
      </w:r>
      <w:r>
        <w:rPr>
          <w:color w:val="000000"/>
          <w:shd w:val="clear" w:color="auto" w:fill="FFFFFF"/>
        </w:rPr>
        <w:t xml:space="preserve"> </w:t>
      </w:r>
      <w:r w:rsidR="00D0413E" w:rsidRPr="00D0413E">
        <w:rPr>
          <w:color w:val="000000"/>
          <w:shd w:val="clear" w:color="auto" w:fill="FFFFFF"/>
        </w:rPr>
        <w:t>F-branch (fb(C)) statistics across our dataset highlight excess allele-sharing between tips in the tree (which represent</w:t>
      </w:r>
      <w:r w:rsidR="00D0413E">
        <w:rPr>
          <w:color w:val="000000"/>
          <w:shd w:val="clear" w:color="auto" w:fill="FFFFFF"/>
        </w:rPr>
        <w:t xml:space="preserve"> individuals grouped by locality and </w:t>
      </w:r>
      <w:r w:rsidR="00D0413E">
        <w:rPr>
          <w:color w:val="000000"/>
          <w:shd w:val="clear" w:color="auto" w:fill="FFFFFF"/>
        </w:rPr>
        <w:t>gall phenotype</w:t>
      </w:r>
      <w:r w:rsidR="00D0413E" w:rsidRPr="00D0413E">
        <w:rPr>
          <w:color w:val="000000"/>
          <w:shd w:val="clear" w:color="auto" w:fill="FFFFFF"/>
        </w:rPr>
        <w:t xml:space="preserve">; horizontally arranged at the top of the figure) and each other tip (solid line) and node (dotted line) in the phylogenetic tree (vertically arranged on the left of the figure), compared to its sister branch. </w:t>
      </w:r>
      <w:r w:rsidR="00D0413E" w:rsidRPr="00D0413E">
        <w:rPr>
          <w:color w:val="000000"/>
          <w:highlight w:val="darkGray"/>
          <w:shd w:val="clear" w:color="auto" w:fill="FFFFFF"/>
        </w:rPr>
        <w:t xml:space="preserve">The associated </w:t>
      </w:r>
      <w:r w:rsidR="00D0413E">
        <w:rPr>
          <w:color w:val="000000"/>
          <w:highlight w:val="darkGray"/>
          <w:shd w:val="clear" w:color="auto" w:fill="FFFFFF"/>
        </w:rPr>
        <w:t>locality</w:t>
      </w:r>
      <w:r w:rsidR="00D0413E" w:rsidRPr="00D0413E">
        <w:rPr>
          <w:color w:val="000000"/>
          <w:highlight w:val="darkGray"/>
          <w:shd w:val="clear" w:color="auto" w:fill="FFFFFF"/>
        </w:rPr>
        <w:t xml:space="preserve"> and </w:t>
      </w:r>
      <w:r w:rsidR="00D0413E">
        <w:rPr>
          <w:color w:val="000000"/>
          <w:highlight w:val="darkGray"/>
          <w:shd w:val="clear" w:color="auto" w:fill="FFFFFF"/>
        </w:rPr>
        <w:t>gall phenotype</w:t>
      </w:r>
      <w:r w:rsidR="00D0413E" w:rsidRPr="00D0413E">
        <w:rPr>
          <w:color w:val="000000"/>
          <w:highlight w:val="darkGray"/>
          <w:shd w:val="clear" w:color="auto" w:fill="FFFFFF"/>
        </w:rPr>
        <w:t xml:space="preserve"> of each tree tip is indicated by the symbol and </w:t>
      </w:r>
      <w:proofErr w:type="spellStart"/>
      <w:r w:rsidR="00D0413E" w:rsidRPr="00D0413E">
        <w:rPr>
          <w:color w:val="000000"/>
          <w:highlight w:val="darkGray"/>
          <w:shd w:val="clear" w:color="auto" w:fill="FFFFFF"/>
        </w:rPr>
        <w:t>colour</w:t>
      </w:r>
      <w:proofErr w:type="spellEnd"/>
      <w:r w:rsidR="00D0413E" w:rsidRPr="00D0413E">
        <w:rPr>
          <w:color w:val="000000"/>
          <w:highlight w:val="darkGray"/>
          <w:shd w:val="clear" w:color="auto" w:fill="FFFFFF"/>
        </w:rPr>
        <w:t xml:space="preserve"> (as in Fig. </w:t>
      </w:r>
      <w:r w:rsidR="00D0413E">
        <w:rPr>
          <w:color w:val="000000"/>
          <w:highlight w:val="darkGray"/>
          <w:shd w:val="clear" w:color="auto" w:fill="FFFFFF"/>
        </w:rPr>
        <w:t>X</w:t>
      </w:r>
      <w:r w:rsidR="00D0413E" w:rsidRPr="00D0413E">
        <w:rPr>
          <w:color w:val="000000"/>
          <w:highlight w:val="darkGray"/>
          <w:shd w:val="clear" w:color="auto" w:fill="FFFFFF"/>
        </w:rPr>
        <w:t>).</w:t>
      </w:r>
      <w:r w:rsidR="00D0413E" w:rsidRPr="00D0413E">
        <w:rPr>
          <w:color w:val="000000"/>
          <w:shd w:val="clear" w:color="auto" w:fill="FFFFFF"/>
        </w:rPr>
        <w:t xml:space="preserve"> The redness of each cell in the matrix indicates the degree of excess allele-sharing between each tree tip (C) and each tip or node (b) with significant instances of excess allele-sharing</w:t>
      </w:r>
      <w:r w:rsidR="00D0413E" w:rsidRPr="00520168">
        <w:rPr>
          <w:color w:val="000000"/>
          <w:highlight w:val="darkGray"/>
          <w:shd w:val="clear" w:color="auto" w:fill="FFFFFF"/>
        </w:rPr>
        <w:t>, where the Z-score was &gt;4.41 (equivalent to the Bonferroni multiple-testing corrected P-value of 0.01), are highlighted with a dot.</w:t>
      </w:r>
      <w:r w:rsidR="00D0413E" w:rsidRPr="00D0413E">
        <w:rPr>
          <w:color w:val="000000"/>
          <w:shd w:val="clear" w:color="auto" w:fill="FFFFFF"/>
        </w:rPr>
        <w:t xml:space="preserve"> Grey shading indicates tests which cannot be carried out due to the topology of the tree.</w:t>
      </w:r>
    </w:p>
    <w:p w14:paraId="673CBCFB" w14:textId="77777777" w:rsidR="00E710A8" w:rsidRDefault="00E710A8" w:rsidP="00D0413E">
      <w:pPr>
        <w:rPr>
          <w:color w:val="000000"/>
          <w:shd w:val="clear" w:color="auto" w:fill="FFFFFF"/>
        </w:rPr>
      </w:pPr>
    </w:p>
    <w:p w14:paraId="187CE53B" w14:textId="3D81AE2F" w:rsidR="00E710A8" w:rsidRPr="00E710A8" w:rsidRDefault="00E710A8" w:rsidP="00D0413E">
      <w:pPr>
        <w:rPr>
          <w:b/>
          <w:bCs/>
          <w:color w:val="000000"/>
          <w:shd w:val="clear" w:color="auto" w:fill="FFFFFF"/>
        </w:rPr>
      </w:pPr>
      <w:r w:rsidRPr="00E710A8">
        <w:rPr>
          <w:b/>
          <w:bCs/>
          <w:color w:val="000000"/>
          <w:shd w:val="clear" w:color="auto" w:fill="FFFFFF"/>
        </w:rPr>
        <w:t>References</w:t>
      </w:r>
    </w:p>
    <w:p w14:paraId="6DFEB28E" w14:textId="4DD48830" w:rsidR="00E710A8" w:rsidRDefault="00E710A8" w:rsidP="00D0413E">
      <w:pPr>
        <w:rPr>
          <w:b/>
          <w:bCs/>
          <w:color w:val="000000"/>
          <w:shd w:val="clear" w:color="auto" w:fill="FFFFFF"/>
        </w:rPr>
      </w:pPr>
      <w:r w:rsidRPr="00E710A8">
        <w:rPr>
          <w:b/>
          <w:bCs/>
          <w:color w:val="000000"/>
          <w:shd w:val="clear" w:color="auto" w:fill="FFFFFF"/>
        </w:rPr>
        <w:t>Figures</w:t>
      </w:r>
    </w:p>
    <w:p w14:paraId="2C211585" w14:textId="7B6CADBF" w:rsidR="00E710A8" w:rsidRDefault="00E710A8" w:rsidP="00D0413E">
      <w:pPr>
        <w:rPr>
          <w:b/>
          <w:bCs/>
          <w:color w:val="000000"/>
          <w:shd w:val="clear" w:color="auto" w:fill="FFFFFF"/>
        </w:rPr>
      </w:pPr>
      <w:r>
        <w:rPr>
          <w:noProof/>
        </w:rPr>
        <w:drawing>
          <wp:inline distT="0" distB="0" distL="0" distR="0" wp14:anchorId="135273B9" wp14:editId="734F7465">
            <wp:extent cx="5943600" cy="4318397"/>
            <wp:effectExtent l="0" t="0" r="0" b="0"/>
            <wp:docPr id="2125055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55762" name="Picture 2125055762"/>
                    <pic:cNvPicPr/>
                  </pic:nvPicPr>
                  <pic:blipFill>
                    <a:blip r:embed="rId9">
                      <a:extLst>
                        <a:ext uri="{28A0092B-C50C-407E-A947-70E740481C1C}">
                          <a14:useLocalDpi xmlns:a14="http://schemas.microsoft.com/office/drawing/2010/main" val="0"/>
                        </a:ext>
                      </a:extLst>
                    </a:blip>
                    <a:stretch>
                      <a:fillRect/>
                    </a:stretch>
                  </pic:blipFill>
                  <pic:spPr>
                    <a:xfrm>
                      <a:off x="0" y="0"/>
                      <a:ext cx="5943600" cy="4318397"/>
                    </a:xfrm>
                    <a:prstGeom prst="rect">
                      <a:avLst/>
                    </a:prstGeom>
                  </pic:spPr>
                </pic:pic>
              </a:graphicData>
            </a:graphic>
          </wp:inline>
        </w:drawing>
      </w:r>
    </w:p>
    <w:p w14:paraId="4759158C" w14:textId="6CE90BE4" w:rsidR="00E710A8" w:rsidRDefault="00E710A8" w:rsidP="00D0413E">
      <w:pPr>
        <w:rPr>
          <w:b/>
          <w:bCs/>
          <w:color w:val="000000"/>
          <w:shd w:val="clear" w:color="auto" w:fill="FFFFFF"/>
        </w:rPr>
      </w:pPr>
      <w:r>
        <w:rPr>
          <w:noProof/>
        </w:rPr>
        <w:lastRenderedPageBreak/>
        <w:drawing>
          <wp:inline distT="0" distB="0" distL="0" distR="0" wp14:anchorId="437A29CE" wp14:editId="4F17511F">
            <wp:extent cx="5943600" cy="3803904"/>
            <wp:effectExtent l="0" t="0" r="0" b="0"/>
            <wp:docPr id="19884299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29951" name="Picture 1988429951"/>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3904"/>
                    </a:xfrm>
                    <a:prstGeom prst="rect">
                      <a:avLst/>
                    </a:prstGeom>
                  </pic:spPr>
                </pic:pic>
              </a:graphicData>
            </a:graphic>
          </wp:inline>
        </w:drawing>
      </w:r>
    </w:p>
    <w:p w14:paraId="3C56198A" w14:textId="36CA2090" w:rsidR="00E710A8" w:rsidRDefault="00E710A8" w:rsidP="00D0413E">
      <w:pPr>
        <w:rPr>
          <w:b/>
          <w:bCs/>
          <w:color w:val="000000"/>
          <w:shd w:val="clear" w:color="auto" w:fill="FFFFFF"/>
        </w:rPr>
      </w:pPr>
      <w:r>
        <w:rPr>
          <w:noProof/>
          <w14:ligatures w14:val="standardContextual"/>
        </w:rPr>
        <w:drawing>
          <wp:inline distT="0" distB="0" distL="0" distR="0" wp14:anchorId="035016C6" wp14:editId="02C0BDDD">
            <wp:extent cx="5943600" cy="4010904"/>
            <wp:effectExtent l="0" t="0" r="0" b="2540"/>
            <wp:docPr id="1172432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32929" name="Picture 1172432929"/>
                    <pic:cNvPicPr/>
                  </pic:nvPicPr>
                  <pic:blipFill>
                    <a:blip r:embed="rId11">
                      <a:extLst>
                        <a:ext uri="{28A0092B-C50C-407E-A947-70E740481C1C}">
                          <a14:useLocalDpi xmlns:a14="http://schemas.microsoft.com/office/drawing/2010/main" val="0"/>
                        </a:ext>
                      </a:extLst>
                    </a:blip>
                    <a:stretch>
                      <a:fillRect/>
                    </a:stretch>
                  </pic:blipFill>
                  <pic:spPr>
                    <a:xfrm>
                      <a:off x="0" y="0"/>
                      <a:ext cx="5943600" cy="4010904"/>
                    </a:xfrm>
                    <a:prstGeom prst="rect">
                      <a:avLst/>
                    </a:prstGeom>
                  </pic:spPr>
                </pic:pic>
              </a:graphicData>
            </a:graphic>
          </wp:inline>
        </w:drawing>
      </w:r>
    </w:p>
    <w:p w14:paraId="492D59BE" w14:textId="5274D385" w:rsidR="00E710A8" w:rsidRDefault="00E710A8" w:rsidP="00D0413E">
      <w:pPr>
        <w:rPr>
          <w:b/>
          <w:bCs/>
          <w:color w:val="000000"/>
          <w:shd w:val="clear" w:color="auto" w:fill="FFFFFF"/>
        </w:rPr>
      </w:pPr>
    </w:p>
    <w:p w14:paraId="41054F78" w14:textId="0D5E5388" w:rsidR="00F31B8A" w:rsidRDefault="0096486E" w:rsidP="00D0413E">
      <w:pPr>
        <w:rPr>
          <w:b/>
          <w:bCs/>
          <w:color w:val="000000"/>
          <w:shd w:val="clear" w:color="auto" w:fill="FFFFFF"/>
        </w:rPr>
      </w:pPr>
      <w:r>
        <w:rPr>
          <w:b/>
          <w:bCs/>
          <w:noProof/>
          <w:color w:val="000000"/>
          <w:shd w:val="clear" w:color="auto" w:fill="FFFFFF"/>
          <w14:ligatures w14:val="standardContextual"/>
        </w:rPr>
        <w:lastRenderedPageBreak/>
        <w:drawing>
          <wp:inline distT="0" distB="0" distL="0" distR="0" wp14:anchorId="76B73AFB" wp14:editId="1A41F466">
            <wp:extent cx="5943600" cy="2329815"/>
            <wp:effectExtent l="0" t="0" r="0" b="0"/>
            <wp:docPr id="1053445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45968" name="Picture 1053445968"/>
                    <pic:cNvPicPr/>
                  </pic:nvPicPr>
                  <pic:blipFill>
                    <a:blip r:embed="rId12">
                      <a:extLst>
                        <a:ext uri="{28A0092B-C50C-407E-A947-70E740481C1C}">
                          <a14:useLocalDpi xmlns:a14="http://schemas.microsoft.com/office/drawing/2010/main" val="0"/>
                        </a:ext>
                      </a:extLst>
                    </a:blip>
                    <a:stretch>
                      <a:fillRect/>
                    </a:stretch>
                  </pic:blipFill>
                  <pic:spPr>
                    <a:xfrm>
                      <a:off x="0" y="0"/>
                      <a:ext cx="5943600" cy="2329815"/>
                    </a:xfrm>
                    <a:prstGeom prst="rect">
                      <a:avLst/>
                    </a:prstGeom>
                  </pic:spPr>
                </pic:pic>
              </a:graphicData>
            </a:graphic>
          </wp:inline>
        </w:drawing>
      </w:r>
    </w:p>
    <w:p w14:paraId="713949D5" w14:textId="43A7DB0A" w:rsidR="00F31B8A" w:rsidRDefault="00F31B8A" w:rsidP="00D0413E">
      <w:pPr>
        <w:rPr>
          <w:b/>
          <w:bCs/>
          <w:color w:val="000000"/>
          <w:shd w:val="clear" w:color="auto" w:fill="FFFFFF"/>
        </w:rPr>
      </w:pPr>
      <w:r>
        <w:rPr>
          <w:b/>
          <w:bCs/>
          <w:noProof/>
          <w:color w:val="000000"/>
          <w:shd w:val="clear" w:color="auto" w:fill="FFFFFF"/>
          <w14:ligatures w14:val="standardContextual"/>
        </w:rPr>
        <w:drawing>
          <wp:inline distT="0" distB="0" distL="0" distR="0" wp14:anchorId="198AE75A" wp14:editId="04A5E9B8">
            <wp:extent cx="5943600" cy="5358130"/>
            <wp:effectExtent l="0" t="0" r="0" b="1270"/>
            <wp:docPr id="42891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6491" name="Picture 4289164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358130"/>
                    </a:xfrm>
                    <a:prstGeom prst="rect">
                      <a:avLst/>
                    </a:prstGeom>
                  </pic:spPr>
                </pic:pic>
              </a:graphicData>
            </a:graphic>
          </wp:inline>
        </w:drawing>
      </w:r>
    </w:p>
    <w:p w14:paraId="6D1143A5" w14:textId="77777777" w:rsidR="00E710A8" w:rsidRDefault="00E710A8" w:rsidP="00D0413E">
      <w:pPr>
        <w:rPr>
          <w:b/>
          <w:bCs/>
          <w:color w:val="000000"/>
          <w:shd w:val="clear" w:color="auto" w:fill="FFFFFF"/>
        </w:rPr>
      </w:pPr>
    </w:p>
    <w:p w14:paraId="6B65586E" w14:textId="57462E87" w:rsidR="00E710A8" w:rsidRDefault="00E710A8" w:rsidP="00D0413E">
      <w:pPr>
        <w:rPr>
          <w:b/>
          <w:bCs/>
          <w:color w:val="000000"/>
          <w:shd w:val="clear" w:color="auto" w:fill="FFFFFF"/>
        </w:rPr>
      </w:pPr>
      <w:r>
        <w:rPr>
          <w:b/>
          <w:bCs/>
          <w:color w:val="000000"/>
          <w:shd w:val="clear" w:color="auto" w:fill="FFFFFF"/>
        </w:rPr>
        <w:t xml:space="preserve">Tables </w:t>
      </w:r>
    </w:p>
    <w:p w14:paraId="2B0CF988" w14:textId="77777777" w:rsidR="00E710A8" w:rsidRDefault="00E710A8" w:rsidP="00D0413E">
      <w:pPr>
        <w:rPr>
          <w:b/>
          <w:bCs/>
          <w:color w:val="000000"/>
          <w:shd w:val="clear" w:color="auto" w:fill="FFFFFF"/>
        </w:rPr>
      </w:pPr>
    </w:p>
    <w:tbl>
      <w:tblPr>
        <w:tblStyle w:val="TableGrid"/>
        <w:tblW w:w="0" w:type="auto"/>
        <w:tblLook w:val="04A0" w:firstRow="1" w:lastRow="0" w:firstColumn="1" w:lastColumn="0" w:noHBand="0" w:noVBand="1"/>
      </w:tblPr>
      <w:tblGrid>
        <w:gridCol w:w="1200"/>
        <w:gridCol w:w="1310"/>
        <w:gridCol w:w="1310"/>
        <w:gridCol w:w="1287"/>
        <w:gridCol w:w="1833"/>
        <w:gridCol w:w="2410"/>
      </w:tblGrid>
      <w:tr w:rsidR="0007527A" w14:paraId="2A6BADA3" w14:textId="77777777" w:rsidTr="0007527A">
        <w:tc>
          <w:tcPr>
            <w:tcW w:w="1558" w:type="dxa"/>
            <w:shd w:val="clear" w:color="auto" w:fill="BDD6EE" w:themeFill="accent5" w:themeFillTint="66"/>
            <w:vAlign w:val="bottom"/>
          </w:tcPr>
          <w:p w14:paraId="31D5A19A" w14:textId="570C0DA1" w:rsidR="0007527A" w:rsidRPr="0007527A" w:rsidRDefault="0007527A" w:rsidP="0007527A">
            <w:pPr>
              <w:rPr>
                <w:b/>
                <w:bCs/>
                <w:color w:val="000000"/>
                <w:sz w:val="21"/>
                <w:szCs w:val="21"/>
                <w:shd w:val="clear" w:color="auto" w:fill="FFFFFF"/>
              </w:rPr>
            </w:pPr>
            <w:r w:rsidRPr="0007527A">
              <w:rPr>
                <w:rFonts w:ascii="Consolas" w:hAnsi="Consolas" w:cs="Consolas"/>
                <w:b/>
                <w:bCs/>
                <w:color w:val="000000"/>
                <w:sz w:val="21"/>
                <w:szCs w:val="21"/>
              </w:rPr>
              <w:lastRenderedPageBreak/>
              <w:t xml:space="preserve">Weight </w:t>
            </w:r>
          </w:p>
        </w:tc>
        <w:tc>
          <w:tcPr>
            <w:tcW w:w="1558" w:type="dxa"/>
            <w:shd w:val="clear" w:color="auto" w:fill="BDD6EE" w:themeFill="accent5" w:themeFillTint="66"/>
            <w:vAlign w:val="bottom"/>
          </w:tcPr>
          <w:p w14:paraId="6BA5501C" w14:textId="0473CB62" w:rsidR="0007527A" w:rsidRPr="0007527A" w:rsidRDefault="0007527A" w:rsidP="0007527A">
            <w:pPr>
              <w:rPr>
                <w:b/>
                <w:bCs/>
                <w:color w:val="000000"/>
                <w:sz w:val="21"/>
                <w:szCs w:val="21"/>
                <w:shd w:val="clear" w:color="auto" w:fill="FFFFFF"/>
              </w:rPr>
            </w:pPr>
            <w:r w:rsidRPr="0007527A">
              <w:rPr>
                <w:rFonts w:ascii="Consolas" w:hAnsi="Consolas" w:cs="Consolas"/>
                <w:b/>
                <w:bCs/>
                <w:color w:val="000000"/>
                <w:sz w:val="21"/>
                <w:szCs w:val="21"/>
              </w:rPr>
              <w:t>Jackknife</w:t>
            </w:r>
          </w:p>
        </w:tc>
        <w:tc>
          <w:tcPr>
            <w:tcW w:w="1558" w:type="dxa"/>
            <w:shd w:val="clear" w:color="auto" w:fill="BDD6EE" w:themeFill="accent5" w:themeFillTint="66"/>
            <w:vAlign w:val="bottom"/>
          </w:tcPr>
          <w:p w14:paraId="3FFF2C3C" w14:textId="694E25AC" w:rsidR="0007527A" w:rsidRPr="0007527A" w:rsidRDefault="0007527A" w:rsidP="0007527A">
            <w:pPr>
              <w:rPr>
                <w:b/>
                <w:bCs/>
                <w:color w:val="000000"/>
                <w:sz w:val="21"/>
                <w:szCs w:val="21"/>
                <w:shd w:val="clear" w:color="auto" w:fill="FFFFFF"/>
              </w:rPr>
            </w:pPr>
            <w:r w:rsidRPr="0007527A">
              <w:rPr>
                <w:rFonts w:ascii="Consolas" w:hAnsi="Consolas" w:cs="Consolas"/>
                <w:b/>
                <w:bCs/>
                <w:color w:val="000000"/>
                <w:sz w:val="21"/>
                <w:szCs w:val="21"/>
              </w:rPr>
              <w:t>Weight Jackknife</w:t>
            </w:r>
          </w:p>
        </w:tc>
        <w:tc>
          <w:tcPr>
            <w:tcW w:w="1558" w:type="dxa"/>
            <w:shd w:val="clear" w:color="auto" w:fill="BDD6EE" w:themeFill="accent5" w:themeFillTint="66"/>
            <w:vAlign w:val="bottom"/>
          </w:tcPr>
          <w:p w14:paraId="3B50C4CD" w14:textId="760824BA" w:rsidR="0007527A" w:rsidRPr="0007527A" w:rsidRDefault="0007527A" w:rsidP="0007527A">
            <w:pPr>
              <w:rPr>
                <w:b/>
                <w:bCs/>
                <w:color w:val="000000"/>
                <w:sz w:val="21"/>
                <w:szCs w:val="21"/>
                <w:shd w:val="clear" w:color="auto" w:fill="FFFFFF"/>
              </w:rPr>
            </w:pPr>
            <w:r w:rsidRPr="0007527A">
              <w:rPr>
                <w:rFonts w:ascii="Consolas" w:hAnsi="Consolas" w:cs="Consolas"/>
                <w:b/>
                <w:bCs/>
                <w:color w:val="000000"/>
                <w:sz w:val="21"/>
                <w:szCs w:val="21"/>
              </w:rPr>
              <w:t>P-Value</w:t>
            </w:r>
          </w:p>
        </w:tc>
        <w:tc>
          <w:tcPr>
            <w:tcW w:w="1559" w:type="dxa"/>
            <w:shd w:val="clear" w:color="auto" w:fill="BDD6EE" w:themeFill="accent5" w:themeFillTint="66"/>
            <w:vAlign w:val="bottom"/>
          </w:tcPr>
          <w:p w14:paraId="249ABF7F" w14:textId="3175ED54" w:rsidR="0007527A" w:rsidRPr="0007527A" w:rsidRDefault="0007527A" w:rsidP="0007527A">
            <w:pPr>
              <w:rPr>
                <w:b/>
                <w:bCs/>
                <w:color w:val="000000"/>
                <w:sz w:val="21"/>
                <w:szCs w:val="21"/>
                <w:shd w:val="clear" w:color="auto" w:fill="FFFFFF"/>
              </w:rPr>
            </w:pPr>
            <w:proofErr w:type="spellStart"/>
            <w:r w:rsidRPr="0007527A">
              <w:rPr>
                <w:rFonts w:ascii="Consolas" w:hAnsi="Consolas" w:cs="Consolas"/>
                <w:b/>
                <w:bCs/>
                <w:color w:val="000000"/>
                <w:sz w:val="21"/>
                <w:szCs w:val="21"/>
              </w:rPr>
              <w:t>Subtree_Origin</w:t>
            </w:r>
            <w:proofErr w:type="spellEnd"/>
            <w:r w:rsidRPr="0007527A">
              <w:rPr>
                <w:rFonts w:ascii="Consolas" w:hAnsi="Consolas" w:cs="Consolas"/>
                <w:b/>
                <w:bCs/>
                <w:color w:val="000000"/>
                <w:sz w:val="21"/>
                <w:szCs w:val="21"/>
              </w:rPr>
              <w:t xml:space="preserve"> </w:t>
            </w:r>
          </w:p>
        </w:tc>
        <w:tc>
          <w:tcPr>
            <w:tcW w:w="1559" w:type="dxa"/>
            <w:shd w:val="clear" w:color="auto" w:fill="BDD6EE" w:themeFill="accent5" w:themeFillTint="66"/>
            <w:vAlign w:val="bottom"/>
          </w:tcPr>
          <w:p w14:paraId="5FB12880" w14:textId="141E8FCD" w:rsidR="0007527A" w:rsidRPr="0007527A" w:rsidRDefault="0007527A" w:rsidP="0007527A">
            <w:pPr>
              <w:rPr>
                <w:b/>
                <w:bCs/>
                <w:color w:val="000000"/>
                <w:sz w:val="21"/>
                <w:szCs w:val="21"/>
                <w:shd w:val="clear" w:color="auto" w:fill="FFFFFF"/>
              </w:rPr>
            </w:pPr>
            <w:proofErr w:type="spellStart"/>
            <w:r w:rsidRPr="0007527A">
              <w:rPr>
                <w:rFonts w:ascii="Consolas" w:hAnsi="Consolas" w:cs="Consolas"/>
                <w:b/>
                <w:bCs/>
                <w:color w:val="000000"/>
                <w:sz w:val="21"/>
                <w:szCs w:val="21"/>
              </w:rPr>
              <w:t>Subtree_Destination</w:t>
            </w:r>
            <w:proofErr w:type="spellEnd"/>
          </w:p>
        </w:tc>
      </w:tr>
      <w:tr w:rsidR="0007527A" w14:paraId="45BEFA7A" w14:textId="77777777" w:rsidTr="00A24DEE">
        <w:tc>
          <w:tcPr>
            <w:tcW w:w="1558" w:type="dxa"/>
            <w:vAlign w:val="bottom"/>
          </w:tcPr>
          <w:p w14:paraId="7FF118B5" w14:textId="737F6E9B"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0.0587654</w:t>
            </w:r>
          </w:p>
        </w:tc>
        <w:tc>
          <w:tcPr>
            <w:tcW w:w="1558" w:type="dxa"/>
            <w:vAlign w:val="bottom"/>
          </w:tcPr>
          <w:p w14:paraId="5F4DD76E" w14:textId="7AC326EB"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0.0605928</w:t>
            </w:r>
          </w:p>
        </w:tc>
        <w:tc>
          <w:tcPr>
            <w:tcW w:w="1558" w:type="dxa"/>
            <w:vAlign w:val="bottom"/>
          </w:tcPr>
          <w:p w14:paraId="484E8495" w14:textId="2BB8F3E4"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0.0406347</w:t>
            </w:r>
          </w:p>
        </w:tc>
        <w:tc>
          <w:tcPr>
            <w:tcW w:w="1558" w:type="dxa"/>
            <w:vAlign w:val="bottom"/>
          </w:tcPr>
          <w:p w14:paraId="07411802" w14:textId="717148AB"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0.0679598</w:t>
            </w:r>
          </w:p>
        </w:tc>
        <w:tc>
          <w:tcPr>
            <w:tcW w:w="1559" w:type="dxa"/>
            <w:vAlign w:val="bottom"/>
          </w:tcPr>
          <w:p w14:paraId="6742A9F7" w14:textId="21FDB5F8"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(RGG-C:</w:t>
            </w:r>
            <w:proofErr w:type="gramStart"/>
            <w:r w:rsidRPr="0007527A">
              <w:rPr>
                <w:rFonts w:ascii="Calibri" w:hAnsi="Calibri" w:cs="Calibri"/>
                <w:color w:val="000000"/>
                <w:sz w:val="21"/>
                <w:szCs w:val="21"/>
              </w:rPr>
              <w:t>0,TES</w:t>
            </w:r>
            <w:proofErr w:type="gramEnd"/>
            <w:r w:rsidRPr="0007527A">
              <w:rPr>
                <w:rFonts w:ascii="Calibri" w:hAnsi="Calibri" w:cs="Calibri"/>
                <w:color w:val="000000"/>
                <w:sz w:val="21"/>
                <w:szCs w:val="21"/>
              </w:rPr>
              <w:t>-C:0):0.0021851</w:t>
            </w:r>
          </w:p>
        </w:tc>
        <w:tc>
          <w:tcPr>
            <w:tcW w:w="1559" w:type="dxa"/>
            <w:vAlign w:val="bottom"/>
          </w:tcPr>
          <w:p w14:paraId="037F4D23" w14:textId="1D3AA9A9"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SLV-O:0.0929742</w:t>
            </w:r>
          </w:p>
        </w:tc>
      </w:tr>
      <w:tr w:rsidR="0007527A" w14:paraId="3F2B63BD" w14:textId="77777777" w:rsidTr="00A24DEE">
        <w:tc>
          <w:tcPr>
            <w:tcW w:w="1558" w:type="dxa"/>
            <w:vAlign w:val="bottom"/>
          </w:tcPr>
          <w:p w14:paraId="4A9BEE17" w14:textId="6E8B8591"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0.0670482</w:t>
            </w:r>
          </w:p>
        </w:tc>
        <w:tc>
          <w:tcPr>
            <w:tcW w:w="1558" w:type="dxa"/>
            <w:vAlign w:val="bottom"/>
          </w:tcPr>
          <w:p w14:paraId="5B09C50A" w14:textId="79900F52"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0.0670237</w:t>
            </w:r>
          </w:p>
        </w:tc>
        <w:tc>
          <w:tcPr>
            <w:tcW w:w="1558" w:type="dxa"/>
            <w:vAlign w:val="bottom"/>
          </w:tcPr>
          <w:p w14:paraId="20D904EC" w14:textId="26A8C28A"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0.00963541</w:t>
            </w:r>
          </w:p>
        </w:tc>
        <w:tc>
          <w:tcPr>
            <w:tcW w:w="1558" w:type="dxa"/>
            <w:vAlign w:val="bottom"/>
          </w:tcPr>
          <w:p w14:paraId="409EA7FA" w14:textId="333BE474"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1.75E-12</w:t>
            </w:r>
          </w:p>
        </w:tc>
        <w:tc>
          <w:tcPr>
            <w:tcW w:w="1559" w:type="dxa"/>
            <w:vAlign w:val="bottom"/>
          </w:tcPr>
          <w:p w14:paraId="219EFE49" w14:textId="1BB7F216"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RGG-S:0</w:t>
            </w:r>
          </w:p>
        </w:tc>
        <w:tc>
          <w:tcPr>
            <w:tcW w:w="1559" w:type="dxa"/>
            <w:vAlign w:val="bottom"/>
          </w:tcPr>
          <w:p w14:paraId="6B8DEF8A" w14:textId="7ACEF574"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(RGG-C:</w:t>
            </w:r>
            <w:proofErr w:type="gramStart"/>
            <w:r w:rsidRPr="0007527A">
              <w:rPr>
                <w:rFonts w:ascii="Calibri" w:hAnsi="Calibri" w:cs="Calibri"/>
                <w:color w:val="000000"/>
                <w:sz w:val="21"/>
                <w:szCs w:val="21"/>
              </w:rPr>
              <w:t>0,TES</w:t>
            </w:r>
            <w:proofErr w:type="gramEnd"/>
            <w:r w:rsidRPr="0007527A">
              <w:rPr>
                <w:rFonts w:ascii="Calibri" w:hAnsi="Calibri" w:cs="Calibri"/>
                <w:color w:val="000000"/>
                <w:sz w:val="21"/>
                <w:szCs w:val="21"/>
              </w:rPr>
              <w:t>-C:0):0.0021851</w:t>
            </w:r>
          </w:p>
        </w:tc>
      </w:tr>
      <w:tr w:rsidR="0007527A" w14:paraId="227D3193" w14:textId="77777777" w:rsidTr="00A24DEE">
        <w:tc>
          <w:tcPr>
            <w:tcW w:w="1558" w:type="dxa"/>
            <w:vAlign w:val="bottom"/>
          </w:tcPr>
          <w:p w14:paraId="7E9E24FF" w14:textId="70AB5D92"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0.0188397</w:t>
            </w:r>
          </w:p>
        </w:tc>
        <w:tc>
          <w:tcPr>
            <w:tcW w:w="1558" w:type="dxa"/>
            <w:vAlign w:val="bottom"/>
          </w:tcPr>
          <w:p w14:paraId="13FE3497" w14:textId="7931A2BF"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0.0190513</w:t>
            </w:r>
          </w:p>
        </w:tc>
        <w:tc>
          <w:tcPr>
            <w:tcW w:w="1558" w:type="dxa"/>
            <w:vAlign w:val="bottom"/>
          </w:tcPr>
          <w:p w14:paraId="1A343257" w14:textId="003D6B35"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0.00618688</w:t>
            </w:r>
          </w:p>
        </w:tc>
        <w:tc>
          <w:tcPr>
            <w:tcW w:w="1558" w:type="dxa"/>
            <w:vAlign w:val="bottom"/>
          </w:tcPr>
          <w:p w14:paraId="5F7BF0E5" w14:textId="4F46806F"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0.00103741</w:t>
            </w:r>
          </w:p>
        </w:tc>
        <w:tc>
          <w:tcPr>
            <w:tcW w:w="1559" w:type="dxa"/>
            <w:vAlign w:val="bottom"/>
          </w:tcPr>
          <w:p w14:paraId="30D5715C" w14:textId="5EB9F44C"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(MAL-N:</w:t>
            </w:r>
            <w:proofErr w:type="gramStart"/>
            <w:r w:rsidRPr="0007527A">
              <w:rPr>
                <w:rFonts w:ascii="Calibri" w:hAnsi="Calibri" w:cs="Calibri"/>
                <w:color w:val="000000"/>
                <w:sz w:val="21"/>
                <w:szCs w:val="21"/>
              </w:rPr>
              <w:t>0,TES</w:t>
            </w:r>
            <w:proofErr w:type="gramEnd"/>
            <w:r w:rsidRPr="0007527A">
              <w:rPr>
                <w:rFonts w:ascii="Calibri" w:hAnsi="Calibri" w:cs="Calibri"/>
                <w:color w:val="000000"/>
                <w:sz w:val="21"/>
                <w:szCs w:val="21"/>
              </w:rPr>
              <w:t>-N:0):0.0660543</w:t>
            </w:r>
          </w:p>
        </w:tc>
        <w:tc>
          <w:tcPr>
            <w:tcW w:w="1559" w:type="dxa"/>
            <w:vAlign w:val="bottom"/>
          </w:tcPr>
          <w:p w14:paraId="076AAD0B" w14:textId="1EDDE4E6" w:rsidR="0007527A" w:rsidRPr="0007527A" w:rsidRDefault="0007527A" w:rsidP="0007527A">
            <w:pPr>
              <w:rPr>
                <w:b/>
                <w:bCs/>
                <w:color w:val="000000"/>
                <w:sz w:val="21"/>
                <w:szCs w:val="21"/>
                <w:shd w:val="clear" w:color="auto" w:fill="FFFFFF"/>
              </w:rPr>
            </w:pPr>
            <w:r w:rsidRPr="0007527A">
              <w:rPr>
                <w:rFonts w:ascii="Calibri" w:hAnsi="Calibri" w:cs="Calibri"/>
                <w:color w:val="000000"/>
                <w:sz w:val="21"/>
                <w:szCs w:val="21"/>
              </w:rPr>
              <w:t>RGG-C:0</w:t>
            </w:r>
          </w:p>
        </w:tc>
      </w:tr>
    </w:tbl>
    <w:p w14:paraId="08495CA0" w14:textId="77777777" w:rsidR="00E710A8" w:rsidRPr="00E710A8" w:rsidRDefault="00E710A8" w:rsidP="00D0413E">
      <w:pPr>
        <w:rPr>
          <w:b/>
          <w:bCs/>
          <w:color w:val="000000"/>
          <w:shd w:val="clear" w:color="auto" w:fill="FFFFFF"/>
        </w:rPr>
      </w:pPr>
    </w:p>
    <w:sectPr w:rsidR="00E710A8" w:rsidRPr="00E710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uela Londono Gaviria" w:date="2023-12-05T14:56:00Z" w:initials="ML">
    <w:p w14:paraId="72680309" w14:textId="77777777" w:rsidR="00F374B3" w:rsidRDefault="00F374B3" w:rsidP="00F374B3">
      <w:r>
        <w:rPr>
          <w:rStyle w:val="CommentReference"/>
        </w:rPr>
        <w:annotationRef/>
      </w:r>
      <w:r>
        <w:rPr>
          <w:sz w:val="20"/>
          <w:szCs w:val="20"/>
        </w:rPr>
        <w:t>We checked</w:t>
      </w:r>
    </w:p>
    <w:p w14:paraId="1B496995" w14:textId="77777777" w:rsidR="00F374B3" w:rsidRDefault="00F374B3" w:rsidP="00F374B3">
      <w:r>
        <w:rPr>
          <w:sz w:val="20"/>
          <w:szCs w:val="20"/>
        </w:rPr>
        <w:t>consistency of k under varying values of alpha (1, 10, 50, and 100), which is a regularization</w:t>
      </w:r>
    </w:p>
    <w:p w14:paraId="6A642F99" w14:textId="77777777" w:rsidR="00F374B3" w:rsidRDefault="00F374B3" w:rsidP="00F374B3">
      <w:r>
        <w:rPr>
          <w:sz w:val="20"/>
          <w:szCs w:val="20"/>
        </w:rPr>
        <w:t>parameter. We ultimately chose alpha=10, as it minimized the cross-entropy criterion in preliminary</w:t>
      </w:r>
    </w:p>
    <w:p w14:paraId="72CF4BB4" w14:textId="77777777" w:rsidR="00F374B3" w:rsidRDefault="00F374B3" w:rsidP="00F374B3">
      <w:r>
        <w:rPr>
          <w:sz w:val="20"/>
          <w:szCs w:val="20"/>
        </w:rPr>
        <w:t>analyses.</w:t>
      </w:r>
    </w:p>
  </w:comment>
  <w:comment w:id="1" w:author="Manuela Londono Gaviria" w:date="2023-12-05T14:57:00Z" w:initials="ML">
    <w:p w14:paraId="38A8BABD" w14:textId="77777777" w:rsidR="00F374B3" w:rsidRDefault="00F374B3" w:rsidP="00F374B3">
      <w:r>
        <w:rPr>
          <w:rStyle w:val="CommentReference"/>
        </w:rPr>
        <w:annotationRef/>
      </w:r>
      <w:r>
        <w:rPr>
          <w:sz w:val="20"/>
          <w:szCs w:val="20"/>
        </w:rPr>
        <w:t xml:space="preserve">We checked for consistency of k under varying values of the regularization parameter alpha (1, 10, and 100), in which higher values penalize admixture more than lower values. Once we chose an optimal value of alpha based on a preliminary investigation of which value minimized the cross-entropy criterion, we performed 100 replicates for each value of k tested. </w:t>
      </w:r>
    </w:p>
  </w:comment>
  <w:comment w:id="2" w:author="Manuela Londono Gaviria" w:date="2023-12-13T17:02:00Z" w:initials="ML">
    <w:p w14:paraId="04D28152" w14:textId="77777777" w:rsidR="00216262" w:rsidRDefault="00216262" w:rsidP="00216262">
      <w:r>
        <w:rPr>
          <w:rStyle w:val="CommentReference"/>
        </w:rPr>
        <w:annotationRef/>
      </w:r>
      <w:r>
        <w:rPr>
          <w:sz w:val="20"/>
          <w:szCs w:val="20"/>
        </w:rPr>
        <w:t>With only 11 groups probably don’t need that many?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CF4BB4" w15:done="0"/>
  <w15:commentEx w15:paraId="38A8BABD" w15:paraIdParent="72CF4BB4" w15:done="0"/>
  <w15:commentEx w15:paraId="04D281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DE7481D" w16cex:dateUtc="2023-12-05T19:56:00Z"/>
  <w16cex:commentExtensible w16cex:durableId="761AA481" w16cex:dateUtc="2023-12-05T19:57:00Z"/>
  <w16cex:commentExtensible w16cex:durableId="4EFEFB3D" w16cex:dateUtc="2023-12-13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CF4BB4" w16cid:durableId="7DE7481D"/>
  <w16cid:commentId w16cid:paraId="38A8BABD" w16cid:durableId="761AA481"/>
  <w16cid:commentId w16cid:paraId="04D28152" w16cid:durableId="4EFEFB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2450F"/>
    <w:multiLevelType w:val="hybridMultilevel"/>
    <w:tmpl w:val="62524FD8"/>
    <w:lvl w:ilvl="0" w:tplc="04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C580EE3"/>
    <w:multiLevelType w:val="hybridMultilevel"/>
    <w:tmpl w:val="B8FC12F0"/>
    <w:lvl w:ilvl="0" w:tplc="CD5E2318">
      <w:start w:val="1"/>
      <w:numFmt w:val="decimal"/>
      <w:lvlText w:val="%1."/>
      <w:lvlJc w:val="left"/>
      <w:pPr>
        <w:tabs>
          <w:tab w:val="num" w:pos="720"/>
        </w:tabs>
        <w:ind w:left="720" w:hanging="360"/>
      </w:pPr>
    </w:lvl>
    <w:lvl w:ilvl="1" w:tplc="BC9680EE">
      <w:start w:val="1"/>
      <w:numFmt w:val="decimal"/>
      <w:lvlText w:val="%2."/>
      <w:lvlJc w:val="left"/>
      <w:pPr>
        <w:tabs>
          <w:tab w:val="num" w:pos="1440"/>
        </w:tabs>
        <w:ind w:left="1440" w:hanging="360"/>
      </w:pPr>
    </w:lvl>
    <w:lvl w:ilvl="2" w:tplc="AFDC0978" w:tentative="1">
      <w:start w:val="1"/>
      <w:numFmt w:val="decimal"/>
      <w:lvlText w:val="%3."/>
      <w:lvlJc w:val="left"/>
      <w:pPr>
        <w:tabs>
          <w:tab w:val="num" w:pos="2160"/>
        </w:tabs>
        <w:ind w:left="2160" w:hanging="360"/>
      </w:pPr>
    </w:lvl>
    <w:lvl w:ilvl="3" w:tplc="9D7C2770" w:tentative="1">
      <w:start w:val="1"/>
      <w:numFmt w:val="decimal"/>
      <w:lvlText w:val="%4."/>
      <w:lvlJc w:val="left"/>
      <w:pPr>
        <w:tabs>
          <w:tab w:val="num" w:pos="2880"/>
        </w:tabs>
        <w:ind w:left="2880" w:hanging="360"/>
      </w:pPr>
    </w:lvl>
    <w:lvl w:ilvl="4" w:tplc="409CFE26" w:tentative="1">
      <w:start w:val="1"/>
      <w:numFmt w:val="decimal"/>
      <w:lvlText w:val="%5."/>
      <w:lvlJc w:val="left"/>
      <w:pPr>
        <w:tabs>
          <w:tab w:val="num" w:pos="3600"/>
        </w:tabs>
        <w:ind w:left="3600" w:hanging="360"/>
      </w:pPr>
    </w:lvl>
    <w:lvl w:ilvl="5" w:tplc="C5026FAE" w:tentative="1">
      <w:start w:val="1"/>
      <w:numFmt w:val="decimal"/>
      <w:lvlText w:val="%6."/>
      <w:lvlJc w:val="left"/>
      <w:pPr>
        <w:tabs>
          <w:tab w:val="num" w:pos="4320"/>
        </w:tabs>
        <w:ind w:left="4320" w:hanging="360"/>
      </w:pPr>
    </w:lvl>
    <w:lvl w:ilvl="6" w:tplc="D1C29FB8" w:tentative="1">
      <w:start w:val="1"/>
      <w:numFmt w:val="decimal"/>
      <w:lvlText w:val="%7."/>
      <w:lvlJc w:val="left"/>
      <w:pPr>
        <w:tabs>
          <w:tab w:val="num" w:pos="5040"/>
        </w:tabs>
        <w:ind w:left="5040" w:hanging="360"/>
      </w:pPr>
    </w:lvl>
    <w:lvl w:ilvl="7" w:tplc="CA8E32B2" w:tentative="1">
      <w:start w:val="1"/>
      <w:numFmt w:val="decimal"/>
      <w:lvlText w:val="%8."/>
      <w:lvlJc w:val="left"/>
      <w:pPr>
        <w:tabs>
          <w:tab w:val="num" w:pos="5760"/>
        </w:tabs>
        <w:ind w:left="5760" w:hanging="360"/>
      </w:pPr>
    </w:lvl>
    <w:lvl w:ilvl="8" w:tplc="32AA2B2E" w:tentative="1">
      <w:start w:val="1"/>
      <w:numFmt w:val="decimal"/>
      <w:lvlText w:val="%9."/>
      <w:lvlJc w:val="left"/>
      <w:pPr>
        <w:tabs>
          <w:tab w:val="num" w:pos="6480"/>
        </w:tabs>
        <w:ind w:left="6480" w:hanging="360"/>
      </w:pPr>
    </w:lvl>
  </w:abstractNum>
  <w:abstractNum w:abstractNumId="2" w15:restartNumberingAfterBreak="0">
    <w:nsid w:val="57D83360"/>
    <w:multiLevelType w:val="hybridMultilevel"/>
    <w:tmpl w:val="5FE697AC"/>
    <w:lvl w:ilvl="0" w:tplc="1B12EB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152389">
    <w:abstractNumId w:val="2"/>
  </w:num>
  <w:num w:numId="2" w16cid:durableId="1948153068">
    <w:abstractNumId w:val="1"/>
  </w:num>
  <w:num w:numId="3" w16cid:durableId="5473765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a Londono Gaviria">
    <w15:presenceInfo w15:providerId="AD" w15:userId="S::mlondono@unm.edu::30e3009a-c41a-4645-a695-1a01afad6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67"/>
    <w:rsid w:val="00000BED"/>
    <w:rsid w:val="00070A13"/>
    <w:rsid w:val="0007527A"/>
    <w:rsid w:val="001278EA"/>
    <w:rsid w:val="001C20CC"/>
    <w:rsid w:val="001E4C2F"/>
    <w:rsid w:val="001F0226"/>
    <w:rsid w:val="00216262"/>
    <w:rsid w:val="00254B76"/>
    <w:rsid w:val="002B6C51"/>
    <w:rsid w:val="00396084"/>
    <w:rsid w:val="003C0107"/>
    <w:rsid w:val="003C79A7"/>
    <w:rsid w:val="003E2B29"/>
    <w:rsid w:val="00403CD5"/>
    <w:rsid w:val="00455786"/>
    <w:rsid w:val="004E090F"/>
    <w:rsid w:val="00520168"/>
    <w:rsid w:val="00536A8D"/>
    <w:rsid w:val="00545CCE"/>
    <w:rsid w:val="005D0263"/>
    <w:rsid w:val="00657FC1"/>
    <w:rsid w:val="00662863"/>
    <w:rsid w:val="00686B48"/>
    <w:rsid w:val="006A2C67"/>
    <w:rsid w:val="006B6A4F"/>
    <w:rsid w:val="006E2F58"/>
    <w:rsid w:val="006E3B87"/>
    <w:rsid w:val="00745B69"/>
    <w:rsid w:val="00752A49"/>
    <w:rsid w:val="0078746A"/>
    <w:rsid w:val="007E34F0"/>
    <w:rsid w:val="008065B3"/>
    <w:rsid w:val="0088789D"/>
    <w:rsid w:val="00894FEF"/>
    <w:rsid w:val="00901F19"/>
    <w:rsid w:val="0096486E"/>
    <w:rsid w:val="00A129D3"/>
    <w:rsid w:val="00A213FC"/>
    <w:rsid w:val="00AC6EE2"/>
    <w:rsid w:val="00B320E6"/>
    <w:rsid w:val="00B90BBF"/>
    <w:rsid w:val="00B971F8"/>
    <w:rsid w:val="00BB44DF"/>
    <w:rsid w:val="00C366A3"/>
    <w:rsid w:val="00CB120B"/>
    <w:rsid w:val="00CF565E"/>
    <w:rsid w:val="00D0413E"/>
    <w:rsid w:val="00D37F35"/>
    <w:rsid w:val="00D64462"/>
    <w:rsid w:val="00DA15E5"/>
    <w:rsid w:val="00DE5BA0"/>
    <w:rsid w:val="00E64C29"/>
    <w:rsid w:val="00E710A8"/>
    <w:rsid w:val="00F31B8A"/>
    <w:rsid w:val="00F374B3"/>
    <w:rsid w:val="00F409B6"/>
    <w:rsid w:val="00F96CF6"/>
    <w:rsid w:val="00FB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9934F"/>
  <w15:chartTrackingRefBased/>
  <w15:docId w15:val="{6E69C744-8317-AA4C-88B1-BE9563F7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C67"/>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74B3"/>
    <w:rPr>
      <w:sz w:val="16"/>
      <w:szCs w:val="16"/>
    </w:rPr>
  </w:style>
  <w:style w:type="paragraph" w:styleId="CommentText">
    <w:name w:val="annotation text"/>
    <w:basedOn w:val="Normal"/>
    <w:link w:val="CommentTextChar"/>
    <w:uiPriority w:val="99"/>
    <w:semiHidden/>
    <w:unhideWhenUsed/>
    <w:rsid w:val="00F374B3"/>
    <w:rPr>
      <w:sz w:val="20"/>
      <w:szCs w:val="20"/>
    </w:rPr>
  </w:style>
  <w:style w:type="character" w:customStyle="1" w:styleId="CommentTextChar">
    <w:name w:val="Comment Text Char"/>
    <w:basedOn w:val="DefaultParagraphFont"/>
    <w:link w:val="CommentText"/>
    <w:uiPriority w:val="99"/>
    <w:semiHidden/>
    <w:rsid w:val="00F374B3"/>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F374B3"/>
    <w:rPr>
      <w:b/>
      <w:bCs/>
    </w:rPr>
  </w:style>
  <w:style w:type="character" w:customStyle="1" w:styleId="CommentSubjectChar">
    <w:name w:val="Comment Subject Char"/>
    <w:basedOn w:val="CommentTextChar"/>
    <w:link w:val="CommentSubject"/>
    <w:uiPriority w:val="99"/>
    <w:semiHidden/>
    <w:rsid w:val="00F374B3"/>
    <w:rPr>
      <w:rFonts w:ascii="Times New Roman" w:eastAsia="Times New Roman" w:hAnsi="Times New Roman" w:cs="Times New Roman"/>
      <w:b/>
      <w:bCs/>
      <w:kern w:val="0"/>
      <w:sz w:val="20"/>
      <w:szCs w:val="20"/>
      <w14:ligatures w14:val="none"/>
    </w:rPr>
  </w:style>
  <w:style w:type="paragraph" w:styleId="ListParagraph">
    <w:name w:val="List Paragraph"/>
    <w:basedOn w:val="Normal"/>
    <w:uiPriority w:val="34"/>
    <w:qFormat/>
    <w:rsid w:val="006B6A4F"/>
    <w:pPr>
      <w:ind w:left="720"/>
      <w:contextualSpacing/>
    </w:pPr>
  </w:style>
  <w:style w:type="character" w:customStyle="1" w:styleId="smallcaps">
    <w:name w:val="smallcaps"/>
    <w:basedOn w:val="DefaultParagraphFont"/>
    <w:rsid w:val="00901F19"/>
  </w:style>
  <w:style w:type="character" w:styleId="Hyperlink">
    <w:name w:val="Hyperlink"/>
    <w:basedOn w:val="DefaultParagraphFont"/>
    <w:uiPriority w:val="99"/>
    <w:semiHidden/>
    <w:unhideWhenUsed/>
    <w:rsid w:val="00901F19"/>
    <w:rPr>
      <w:color w:val="0000FF"/>
      <w:u w:val="single"/>
    </w:rPr>
  </w:style>
  <w:style w:type="table" w:styleId="TableGrid">
    <w:name w:val="Table Grid"/>
    <w:basedOn w:val="TableNormal"/>
    <w:uiPriority w:val="39"/>
    <w:rsid w:val="00FB6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5852">
      <w:bodyDiv w:val="1"/>
      <w:marLeft w:val="0"/>
      <w:marRight w:val="0"/>
      <w:marTop w:val="0"/>
      <w:marBottom w:val="0"/>
      <w:divBdr>
        <w:top w:val="none" w:sz="0" w:space="0" w:color="auto"/>
        <w:left w:val="none" w:sz="0" w:space="0" w:color="auto"/>
        <w:bottom w:val="none" w:sz="0" w:space="0" w:color="auto"/>
        <w:right w:val="none" w:sz="0" w:space="0" w:color="auto"/>
      </w:divBdr>
      <w:divsChild>
        <w:div w:id="1441487230">
          <w:marLeft w:val="1166"/>
          <w:marRight w:val="0"/>
          <w:marTop w:val="0"/>
          <w:marBottom w:val="0"/>
          <w:divBdr>
            <w:top w:val="none" w:sz="0" w:space="0" w:color="auto"/>
            <w:left w:val="none" w:sz="0" w:space="0" w:color="auto"/>
            <w:bottom w:val="none" w:sz="0" w:space="0" w:color="auto"/>
            <w:right w:val="none" w:sz="0" w:space="0" w:color="auto"/>
          </w:divBdr>
        </w:div>
        <w:div w:id="720522729">
          <w:marLeft w:val="1166"/>
          <w:marRight w:val="0"/>
          <w:marTop w:val="0"/>
          <w:marBottom w:val="0"/>
          <w:divBdr>
            <w:top w:val="none" w:sz="0" w:space="0" w:color="auto"/>
            <w:left w:val="none" w:sz="0" w:space="0" w:color="auto"/>
            <w:bottom w:val="none" w:sz="0" w:space="0" w:color="auto"/>
            <w:right w:val="none" w:sz="0" w:space="0" w:color="auto"/>
          </w:divBdr>
        </w:div>
      </w:divsChild>
    </w:div>
    <w:div w:id="668143111">
      <w:bodyDiv w:val="1"/>
      <w:marLeft w:val="0"/>
      <w:marRight w:val="0"/>
      <w:marTop w:val="0"/>
      <w:marBottom w:val="0"/>
      <w:divBdr>
        <w:top w:val="none" w:sz="0" w:space="0" w:color="auto"/>
        <w:left w:val="none" w:sz="0" w:space="0" w:color="auto"/>
        <w:bottom w:val="none" w:sz="0" w:space="0" w:color="auto"/>
        <w:right w:val="none" w:sz="0" w:space="0" w:color="auto"/>
      </w:divBdr>
    </w:div>
    <w:div w:id="755828205">
      <w:bodyDiv w:val="1"/>
      <w:marLeft w:val="0"/>
      <w:marRight w:val="0"/>
      <w:marTop w:val="0"/>
      <w:marBottom w:val="0"/>
      <w:divBdr>
        <w:top w:val="none" w:sz="0" w:space="0" w:color="auto"/>
        <w:left w:val="none" w:sz="0" w:space="0" w:color="auto"/>
        <w:bottom w:val="none" w:sz="0" w:space="0" w:color="auto"/>
        <w:right w:val="none" w:sz="0" w:space="0" w:color="auto"/>
      </w:divBdr>
    </w:div>
    <w:div w:id="811095774">
      <w:bodyDiv w:val="1"/>
      <w:marLeft w:val="0"/>
      <w:marRight w:val="0"/>
      <w:marTop w:val="0"/>
      <w:marBottom w:val="0"/>
      <w:divBdr>
        <w:top w:val="none" w:sz="0" w:space="0" w:color="auto"/>
        <w:left w:val="none" w:sz="0" w:space="0" w:color="auto"/>
        <w:bottom w:val="none" w:sz="0" w:space="0" w:color="auto"/>
        <w:right w:val="none" w:sz="0" w:space="0" w:color="auto"/>
      </w:divBdr>
    </w:div>
    <w:div w:id="896672021">
      <w:bodyDiv w:val="1"/>
      <w:marLeft w:val="0"/>
      <w:marRight w:val="0"/>
      <w:marTop w:val="0"/>
      <w:marBottom w:val="0"/>
      <w:divBdr>
        <w:top w:val="none" w:sz="0" w:space="0" w:color="auto"/>
        <w:left w:val="none" w:sz="0" w:space="0" w:color="auto"/>
        <w:bottom w:val="none" w:sz="0" w:space="0" w:color="auto"/>
        <w:right w:val="none" w:sz="0" w:space="0" w:color="auto"/>
      </w:divBdr>
    </w:div>
    <w:div w:id="1473401696">
      <w:bodyDiv w:val="1"/>
      <w:marLeft w:val="0"/>
      <w:marRight w:val="0"/>
      <w:marTop w:val="0"/>
      <w:marBottom w:val="0"/>
      <w:divBdr>
        <w:top w:val="none" w:sz="0" w:space="0" w:color="auto"/>
        <w:left w:val="none" w:sz="0" w:space="0" w:color="auto"/>
        <w:bottom w:val="none" w:sz="0" w:space="0" w:color="auto"/>
        <w:right w:val="none" w:sz="0" w:space="0" w:color="auto"/>
      </w:divBdr>
    </w:div>
    <w:div w:id="1654748320">
      <w:bodyDiv w:val="1"/>
      <w:marLeft w:val="0"/>
      <w:marRight w:val="0"/>
      <w:marTop w:val="0"/>
      <w:marBottom w:val="0"/>
      <w:divBdr>
        <w:top w:val="none" w:sz="0" w:space="0" w:color="auto"/>
        <w:left w:val="none" w:sz="0" w:space="0" w:color="auto"/>
        <w:bottom w:val="none" w:sz="0" w:space="0" w:color="auto"/>
        <w:right w:val="none" w:sz="0" w:space="0" w:color="auto"/>
      </w:divBdr>
    </w:div>
    <w:div w:id="20764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8</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Londono Gaviria</dc:creator>
  <cp:keywords/>
  <dc:description/>
  <cp:lastModifiedBy>Manuela Londono Gaviria</cp:lastModifiedBy>
  <cp:revision>10</cp:revision>
  <dcterms:created xsi:type="dcterms:W3CDTF">2023-12-05T18:36:00Z</dcterms:created>
  <dcterms:modified xsi:type="dcterms:W3CDTF">2023-12-15T20:58:00Z</dcterms:modified>
</cp:coreProperties>
</file>