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 Cole Farms — One Pager</w:t>
      </w:r>
    </w:p>
    <w:p>
      <w:r>
        <w:br/>
        <w:t>L Cole Farms — Regenerative Farming Initiative</w:t>
        <w:br/>
        <w:br/>
        <w:t>Location: Central Illinois (600+ acre crop &amp; livestock farm)</w:t>
        <w:br/>
        <w:t>Mission: To restore soil health, strengthen local food systems, and model profitable regenerative farming practices for the Midwest.</w:t>
        <w:br/>
        <w:br/>
        <w:t>Farm Profile</w:t>
        <w:br/>
        <w:t>- Total Acreage: 600+ acres (crop and livestock operation).</w:t>
        <w:br/>
        <w:t>- Regenerative POC: 90-acre pilot site testing regenerative practices.</w:t>
        <w:br/>
        <w:t>- Livestock: ~35 head cattle, rotationally grazed on the POC.</w:t>
        <w:br/>
        <w:t>- Crops: Conventional and regenerative no-till rotations, with integration of cover crops.</w:t>
        <w:br/>
        <w:t>- Stewardship Model: Two-operator system — one focused on crops, one on livestock — with shared planning and communication.</w:t>
        <w:br/>
        <w:br/>
        <w:t>Regenerative POC Practices (90 acres)</w:t>
        <w:br/>
        <w:t>- No-Till + Crop Rotation to protect soil and diversify production.</w:t>
        <w:br/>
        <w:t>- Multi-Species Cover Crops to improve soil health, fix nitrogen, and provide forage.</w:t>
        <w:br/>
        <w:t>- Rotational Grazing of cattle through 12 paddocks, mimicking natural herd impact.</w:t>
        <w:br/>
        <w:t>- Crop–Livestock Integration: grazing windows aligned with cover crop and cash crop cycles.</w:t>
        <w:br/>
        <w:br/>
        <w:t>Goals</w:t>
        <w:br/>
        <w:t>1. Prove regenerative practices are profitable and replicable at scale.</w:t>
        <w:br/>
        <w:t>2. Build resilient soils with greater organic matter and water retention.</w:t>
        <w:br/>
        <w:t>3. Deliver nutrient-dense crops and beef for local and regional markets.</w:t>
        <w:br/>
        <w:t>4. Connect with regional farm networks to exchange knowledge and support.</w:t>
        <w:br/>
        <w:br/>
        <w:t>Collaboration Interests</w:t>
        <w:br/>
        <w:t>- Partnering with farm networks (e.g., Down At The Farms).</w:t>
        <w:br/>
        <w:t>- Participating in field days and regenerative education (e.g., Spence Farm).</w:t>
        <w:br/>
        <w:t>- Learning from diversified systems (e.g., Garden Gate Farms).</w:t>
        <w:br/>
        <w:t>- Exploring direct market opportunities and agritourism.</w:t>
        <w:br/>
        <w:br/>
        <w:t>Contact:</w:t>
        <w:br/>
        <w:t>Lisa Cole, Operator</w:t>
        <w:br/>
        <w:t>L Cole Farms</w:t>
        <w:br/>
        <w:t>[Insert phone + email here]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