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Putnam’s Paradigm, LLC — NORMAL (PPRC)</w:t>
      </w:r>
    </w:p>
    <w:p>
      <w:pPr>
        <w:pStyle w:val="Heading1"/>
      </w:pPr>
      <w:r>
        <w:t>Cole Family Recording Studios (CFRC)</w:t>
      </w:r>
    </w:p>
    <w:p>
      <w:pPr>
        <w:pStyle w:val="Heading2"/>
      </w:pPr>
      <w:r>
        <w:t>Regenerative Farming Hub — Addendum</w:t>
      </w:r>
    </w:p>
    <w:p>
      <w:r>
        <w:t>The Regenerative Farming Hub at L Cole Farms will serve as an agricultural anchor for Greenfield, complementing the creative anchor of Cole Family Recording Studios.</w:t>
      </w:r>
    </w:p>
    <w:p>
      <w:r>
        <w:t>Key Components:</w:t>
      </w:r>
    </w:p>
    <w:p>
      <w:r>
        <w:t>- Demonstration Fields (west crop fields, public-facing).</w:t>
      </w:r>
    </w:p>
    <w:p>
      <w:r>
        <w:t>- Hub for training, education, and farmer support.</w:t>
      </w:r>
    </w:p>
    <w:p>
      <w:r>
        <w:t>- Partnerships with universities, extension services, and sustainability organizations.</w:t>
      </w:r>
    </w:p>
    <w:p>
      <w:r>
        <w:t>Economic &amp; Community Benefits:</w:t>
      </w:r>
    </w:p>
    <w:p>
      <w:r>
        <w:t>- Positions Greenfield as a Midwest leader in regenerative farming.</w:t>
      </w:r>
    </w:p>
    <w:p>
      <w:r>
        <w:t>- Attracts grants and external funding from USDA, Illinois Dept. of Agriculture, and private foundations.</w:t>
      </w:r>
    </w:p>
    <w:p>
      <w:r>
        <w:t>- Provides opportunities for community outreach, education, and tourism.</w:t>
      </w:r>
    </w:p>
    <w:p>
      <w:r>
        <w:t>Integration with Control Center:</w:t>
      </w:r>
    </w:p>
    <w:p>
      <w:r>
        <w:t>- Tracks events, training sessions, and partnerships.</w:t>
      </w:r>
    </w:p>
    <w:p>
      <w:r>
        <w:t>- Automated monitoring of grant opportunities and compliance deadlines.</w:t>
      </w:r>
    </w:p>
    <w:p>
      <w:r>
        <w:t>- Quarterly and yearly reports on outreach and impact.</w:t>
      </w:r>
    </w:p>
    <w:p>
      <w:r>
        <w:br/>
        <w:t>QR Code Placeholder (bottom-left)</w:t>
        <w:br/>
        <w:t>Putnam’s Paradigm, LLC — NORMAL (PPRC) (bottom-right)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