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Расширенный анализ производительности</w:t>
        <w:br/>
        <w:t>обработки объектов после загрузки из DU</w:t>
      </w:r>
    </w:p>
    <w:p>
      <w:pPr>
        <w:jc w:val="center"/>
      </w:pPr>
      <w:r>
        <w:rPr>
          <w:color w:val="464646"/>
          <w:sz w:val="28"/>
        </w:rPr>
        <w:t>Полный сравнительный анализ трёх сценариев</w:t>
        <w:br/>
        <w:t>20 визуализаций и метрик</w:t>
      </w:r>
    </w:p>
    <w:p>
      <w:pPr>
        <w:jc w:val="center"/>
      </w:pPr>
      <w:r>
        <w:rPr>
          <w:sz w:val="22"/>
        </w:rPr>
        <w:t>Дата отчёта: 30.10.2025</w:t>
      </w:r>
    </w:p>
    <w:p>
      <w:r>
        <w:br w:type="page"/>
      </w:r>
    </w:p>
    <w:p>
      <w:pPr>
        <w:pStyle w:val="Heading1"/>
        <w:jc w:val="left"/>
      </w:pPr>
      <w:r>
        <w:t>1. Резюме</w:t>
      </w:r>
    </w:p>
    <w:p>
      <w:r>
        <w:rPr>
          <w:sz w:val="22"/>
        </w:rPr>
        <w:t>Настоящий отчёт представляет комплексный анализ производительности системы с использованием 20 различных типов визуализаций и статистических метрик.</w:t>
      </w:r>
    </w:p>
    <w:p/>
    <w:p>
      <w:r>
        <w:rPr>
          <w:b/>
          <w:sz w:val="22"/>
        </w:rPr>
        <w:t>Ключевые результаты:</w:t>
      </w:r>
    </w:p>
    <w:p>
      <w:r>
        <w:rPr>
          <w:sz w:val="22"/>
        </w:rPr>
        <w:t>• Без дублей обменов:</w:t>
        <w:br/>
        <w:t xml:space="preserve">  Среднее: 163.7 мин/день</w:t>
        <w:br/>
        <w:t xml:space="preserve">  Улучшение: 45.0%</w:t>
        <w:br/>
        <w:t xml:space="preserve">  Сэкономлено: 937 минут за период</w:t>
      </w:r>
    </w:p>
    <w:p>
      <w:r>
        <w:rPr>
          <w:sz w:val="22"/>
        </w:rPr>
        <w:t>• Без дублей обменов + Параллельные портфели:</w:t>
        <w:br/>
        <w:t xml:space="preserve">  Среднее: 68.7 мин/день</w:t>
        <w:br/>
        <w:t xml:space="preserve">  Улучшение: 76.9%</w:t>
        <w:br/>
        <w:t xml:space="preserve">  Сэкономлено: 3204 минут за период</w:t>
      </w:r>
    </w:p>
    <w:p>
      <w:r>
        <w:br w:type="page"/>
      </w:r>
    </w:p>
    <w:p>
      <w:pPr>
        <w:pStyle w:val="Heading1"/>
        <w:jc w:val="left"/>
      </w:pPr>
      <w:r>
        <w:t>2. Визуальный анализ (20 графиков)</w:t>
      </w:r>
    </w:p>
    <w:p>
      <w:pPr>
        <w:pStyle w:val="Heading2"/>
        <w:jc w:val="left"/>
      </w:pPr>
      <w:r>
        <w:t>2.1. Временные ряды и тренды</w:t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Ежедневное время обработки показывает четкое снижение при переходе между сценариями.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354453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Box Plot демонстрирует распределение, медиану и выбросы.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354453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Violin Plot показывает полную плотность распределения значений.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Скользящее среднее сглаживает краткосрочные колебания.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Кумулятивный график показывает общее накопленное время.</w:t>
      </w:r>
    </w:p>
    <w:p>
      <w:r>
        <w:br w:type="page"/>
      </w:r>
    </w:p>
    <w:p>
      <w:pPr>
        <w:pStyle w:val="Heading2"/>
        <w:jc w:val="left"/>
      </w:pPr>
      <w:r>
        <w:t>2.2. Распределения и плотности</w:t>
      </w:r>
    </w:p>
    <w:p>
      <w:r>
        <w:drawing>
          <wp:inline xmlns:a="http://schemas.openxmlformats.org/drawingml/2006/main" xmlns:pic="http://schemas.openxmlformats.org/drawingml/2006/picture">
            <wp:extent cx="5943600" cy="197410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Гистограммы с указанием среднего и медианы.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94349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4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KDE Plot для оценки непрерывной плотности распределения.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94349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4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Сравнение ключевых перцентилей по сценариям.</w:t>
      </w:r>
    </w:p>
    <w:p>
      <w:r>
        <w:br w:type="page"/>
      </w:r>
    </w:p>
    <w:p>
      <w:pPr>
        <w:pStyle w:val="Heading2"/>
        <w:jc w:val="left"/>
      </w:pPr>
      <w:r>
        <w:t>2.3. Тепловые карты и паттерны</w:t>
      </w:r>
    </w:p>
    <w:p>
      <w:r>
        <w:drawing>
          <wp:inline xmlns:a="http://schemas.openxmlformats.org/drawingml/2006/main" xmlns:pic="http://schemas.openxmlformats.org/drawingml/2006/picture">
            <wp:extent cx="5943600" cy="505611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1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Тепловая карта выявляет недельные паттерны.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94349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4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Анализ по дням недели показывает цикличность.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94682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Месячное сравнение суммарного времени обработки.</w:t>
      </w:r>
    </w:p>
    <w:p>
      <w:r>
        <w:br w:type="page"/>
      </w:r>
    </w:p>
    <w:p>
      <w:pPr>
        <w:pStyle w:val="Heading2"/>
        <w:jc w:val="left"/>
      </w:pPr>
      <w:r>
        <w:t>2.4. Волатильность и стабильность</w:t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Анализ волатильности через скользящее стандартное отклонение.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197322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Точечные графики с линиями тренда для каждого сценария.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197410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Q-Q Plot для проверки нормальности распределения.</w:t>
      </w:r>
    </w:p>
    <w:p>
      <w:r>
        <w:br w:type="page"/>
      </w:r>
    </w:p>
    <w:p>
      <w:pPr>
        <w:pStyle w:val="Heading2"/>
        <w:jc w:val="left"/>
      </w:pPr>
      <w:r>
        <w:t>2.5. Накопительные и многомерные виды</w:t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Area Chart показывает накопительный вклад сценариев.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487472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Radar Chart для многомерного сравнения показателей.</w:t>
      </w:r>
    </w:p>
    <w:p>
      <w:r>
        <w:br w:type="page"/>
      </w:r>
    </w:p>
    <w:p>
      <w:pPr>
        <w:pStyle w:val="Heading2"/>
        <w:jc w:val="left"/>
      </w:pPr>
      <w:r>
        <w:t>2.6. Сводные сравнения</w:t>
      </w:r>
    </w:p>
    <w:p>
      <w:r>
        <w:drawing>
          <wp:inline xmlns:a="http://schemas.openxmlformats.org/drawingml/2006/main" xmlns:pic="http://schemas.openxmlformats.org/drawingml/2006/picture">
            <wp:extent cx="5943600" cy="294682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Сводное статистическое сравнение.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Диапазон Min-Max с линией среднего.</w:t>
      </w:r>
    </w:p>
    <w:p>
      <w:r>
        <w:br w:type="page"/>
      </w:r>
    </w:p>
    <w:p>
      <w:pPr>
        <w:pStyle w:val="Heading2"/>
        <w:jc w:val="left"/>
      </w:pPr>
      <w:r>
        <w:t>2.7. Метрики улучшения</w:t>
      </w:r>
    </w:p>
    <w:p>
      <w:r>
        <w:drawing>
          <wp:inline xmlns:a="http://schemas.openxmlformats.org/drawingml/2006/main" xmlns:pic="http://schemas.openxmlformats.org/drawingml/2006/picture">
            <wp:extent cx="5943600" cy="354214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Процент улучшения относительно базового сценария.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943600" cy="252282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Накопленное сэкономленное время за весь период.</w:t>
      </w:r>
    </w:p>
    <w:p>
      <w:r>
        <w:br w:type="page"/>
      </w:r>
    </w:p>
    <w:p>
      <w:pPr>
        <w:pStyle w:val="Heading1"/>
        <w:jc w:val="left"/>
      </w:pPr>
      <w:r>
        <w:t>3. Детальная статистика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rPr>
                <w:b/>
              </w:rPr>
              <w:t>Сценарий</w:t>
            </w:r>
          </w:p>
        </w:tc>
        <w:tc>
          <w:tcPr>
            <w:tcW w:type="dxa" w:w="864"/>
          </w:tcPr>
          <w:p>
            <w:r>
              <w:rPr>
                <w:b/>
              </w:rPr>
              <w:t>Дней</w:t>
            </w:r>
          </w:p>
        </w:tc>
        <w:tc>
          <w:tcPr>
            <w:tcW w:type="dxa" w:w="864"/>
          </w:tcPr>
          <w:p>
            <w:r>
              <w:rPr>
                <w:b/>
              </w:rPr>
              <w:t>Среднее</w:t>
            </w:r>
          </w:p>
        </w:tc>
        <w:tc>
          <w:tcPr>
            <w:tcW w:type="dxa" w:w="864"/>
          </w:tcPr>
          <w:p>
            <w:r>
              <w:rPr>
                <w:b/>
              </w:rPr>
              <w:t>Медиана</w:t>
            </w:r>
          </w:p>
        </w:tc>
        <w:tc>
          <w:tcPr>
            <w:tcW w:type="dxa" w:w="864"/>
          </w:tcPr>
          <w:p>
            <w:r>
              <w:rPr>
                <w:b/>
              </w:rPr>
              <w:t>Мин</w:t>
            </w:r>
          </w:p>
        </w:tc>
        <w:tc>
          <w:tcPr>
            <w:tcW w:type="dxa" w:w="864"/>
          </w:tcPr>
          <w:p>
            <w:r>
              <w:rPr>
                <w:b/>
              </w:rPr>
              <w:t>Макс</w:t>
            </w:r>
          </w:p>
        </w:tc>
        <w:tc>
          <w:tcPr>
            <w:tcW w:type="dxa" w:w="864"/>
          </w:tcPr>
          <w:p>
            <w:r>
              <w:rPr>
                <w:b/>
              </w:rPr>
              <w:t>Q25</w:t>
            </w:r>
          </w:p>
        </w:tc>
        <w:tc>
          <w:tcPr>
            <w:tcW w:type="dxa" w:w="864"/>
          </w:tcPr>
          <w:p>
            <w:r>
              <w:rPr>
                <w:b/>
              </w:rPr>
              <w:t>Q75</w:t>
            </w:r>
          </w:p>
        </w:tc>
        <w:tc>
          <w:tcPr>
            <w:tcW w:type="dxa" w:w="864"/>
          </w:tcPr>
          <w:p>
            <w:r>
              <w:rPr>
                <w:b/>
              </w:rPr>
              <w:t>Ст.откл.</w:t>
            </w:r>
          </w:p>
        </w:tc>
        <w:tc>
          <w:tcPr>
            <w:tcW w:type="dxa" w:w="864"/>
          </w:tcPr>
          <w:p>
            <w:r>
              <w:rPr>
                <w:b/>
              </w:rPr>
              <w:t>Улучш.%</w:t>
            </w:r>
          </w:p>
        </w:tc>
      </w:tr>
      <w:tr>
        <w:tc>
          <w:tcPr>
            <w:tcW w:type="dxa" w:w="864"/>
          </w:tcPr>
          <w:p>
            <w:r>
              <w:t>Типовой</w:t>
            </w:r>
          </w:p>
        </w:tc>
        <w:tc>
          <w:tcPr>
            <w:tcW w:type="dxa" w:w="864"/>
          </w:tcPr>
          <w:p>
            <w:r>
              <w:t>96</w:t>
            </w:r>
          </w:p>
        </w:tc>
        <w:tc>
          <w:tcPr>
            <w:tcW w:type="dxa" w:w="864"/>
          </w:tcPr>
          <w:p>
            <w:r>
              <w:t>297.6</w:t>
            </w:r>
          </w:p>
        </w:tc>
        <w:tc>
          <w:tcPr>
            <w:tcW w:type="dxa" w:w="864"/>
          </w:tcPr>
          <w:p>
            <w:r>
              <w:t>271.5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1096</w:t>
            </w:r>
          </w:p>
        </w:tc>
        <w:tc>
          <w:tcPr>
            <w:tcW w:type="dxa" w:w="864"/>
          </w:tcPr>
          <w:p>
            <w:r>
              <w:t>76.2</w:t>
            </w:r>
          </w:p>
        </w:tc>
        <w:tc>
          <w:tcPr>
            <w:tcW w:type="dxa" w:w="864"/>
          </w:tcPr>
          <w:p>
            <w:r>
              <w:t>478.0</w:t>
            </w:r>
          </w:p>
        </w:tc>
        <w:tc>
          <w:tcPr>
            <w:tcW w:type="dxa" w:w="864"/>
          </w:tcPr>
          <w:p>
            <w:r>
              <w:t>243.4</w:t>
            </w:r>
          </w:p>
        </w:tc>
        <w:tc>
          <w:tcPr>
            <w:tcW w:type="dxa" w:w="864"/>
          </w:tcPr>
          <w:p>
            <w:r>
              <w:t>0.0%</w:t>
            </w:r>
          </w:p>
        </w:tc>
      </w:tr>
      <w:tr>
        <w:tc>
          <w:tcPr>
            <w:tcW w:type="dxa" w:w="864"/>
          </w:tcPr>
          <w:p>
            <w:r>
              <w:t>Без дублей обменов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163.7</w:t>
            </w:r>
          </w:p>
        </w:tc>
        <w:tc>
          <w:tcPr>
            <w:tcW w:type="dxa" w:w="864"/>
          </w:tcPr>
          <w:p>
            <w:r>
              <w:t>190.0</w:t>
            </w:r>
          </w:p>
        </w:tc>
        <w:tc>
          <w:tcPr>
            <w:tcW w:type="dxa" w:w="864"/>
          </w:tcPr>
          <w:p>
            <w:r>
              <w:t>49</w:t>
            </w:r>
          </w:p>
        </w:tc>
        <w:tc>
          <w:tcPr>
            <w:tcW w:type="dxa" w:w="864"/>
          </w:tcPr>
          <w:p>
            <w:r>
              <w:t>238</w:t>
            </w:r>
          </w:p>
        </w:tc>
        <w:tc>
          <w:tcPr>
            <w:tcW w:type="dxa" w:w="864"/>
          </w:tcPr>
          <w:p>
            <w:r>
              <w:t>132.5</w:t>
            </w:r>
          </w:p>
        </w:tc>
        <w:tc>
          <w:tcPr>
            <w:tcW w:type="dxa" w:w="864"/>
          </w:tcPr>
          <w:p>
            <w:r>
              <w:t>202.0</w:t>
            </w:r>
          </w:p>
        </w:tc>
        <w:tc>
          <w:tcPr>
            <w:tcW w:type="dxa" w:w="864"/>
          </w:tcPr>
          <w:p>
            <w:r>
              <w:t>65.8</w:t>
            </w:r>
          </w:p>
        </w:tc>
        <w:tc>
          <w:tcPr>
            <w:tcW w:type="dxa" w:w="864"/>
          </w:tcPr>
          <w:p>
            <w:r>
              <w:t>45.0%</w:t>
            </w:r>
          </w:p>
        </w:tc>
      </w:tr>
      <w:tr>
        <w:tc>
          <w:tcPr>
            <w:tcW w:type="dxa" w:w="864"/>
          </w:tcPr>
          <w:p>
            <w:r>
              <w:t>Без дублей обменов + Параллельные портфели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68.7</w:t>
            </w:r>
          </w:p>
        </w:tc>
        <w:tc>
          <w:tcPr>
            <w:tcW w:type="dxa" w:w="864"/>
          </w:tcPr>
          <w:p>
            <w:r>
              <w:t>64.0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183</w:t>
            </w:r>
          </w:p>
        </w:tc>
        <w:tc>
          <w:tcPr>
            <w:tcW w:type="dxa" w:w="864"/>
          </w:tcPr>
          <w:p>
            <w:r>
              <w:t>35.5</w:t>
            </w:r>
          </w:p>
        </w:tc>
        <w:tc>
          <w:tcPr>
            <w:tcW w:type="dxa" w:w="864"/>
          </w:tcPr>
          <w:p>
            <w:r>
              <w:t>96.5</w:t>
            </w:r>
          </w:p>
        </w:tc>
        <w:tc>
          <w:tcPr>
            <w:tcW w:type="dxa" w:w="864"/>
          </w:tcPr>
          <w:p>
            <w:r>
              <w:t>50.2</w:t>
            </w:r>
          </w:p>
        </w:tc>
        <w:tc>
          <w:tcPr>
            <w:tcW w:type="dxa" w:w="864"/>
          </w:tcPr>
          <w:p>
            <w:r>
              <w:t>76.9%</w:t>
            </w:r>
          </w:p>
        </w:tc>
      </w:tr>
    </w:tbl>
    <w:p>
      <w:r>
        <w:br w:type="page"/>
      </w:r>
    </w:p>
    <w:p>
      <w:pPr>
        <w:pStyle w:val="Heading1"/>
        <w:jc w:val="left"/>
      </w:pPr>
      <w:r>
        <w:t>4. Выводы</w:t>
      </w:r>
    </w:p>
    <w:p>
      <w:r>
        <w:rPr>
          <w:sz w:val="22"/>
        </w:rPr>
        <w:t>• Реализованные оптимизации привели к значительному улучшению производительности</w:t>
        <w:br/>
        <w:t>• Финальный сценарий демонстрирует стабильную работу с минимальной волатильностью</w:t>
        <w:br/>
        <w:t>• Распределение времени обработки стало более предсказуемым</w:t>
        <w:br/>
        <w:t>• Отсутствуют критические выбросы в последнем сценарии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