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Анализ производительности обработки объектов после загрузки из DU</w:t>
      </w:r>
    </w:p>
    <w:p>
      <w:pPr>
        <w:jc w:val="center"/>
      </w:pPr>
      <w:r>
        <w:rPr>
          <w:color w:val="464646"/>
          <w:sz w:val="28"/>
        </w:rPr>
        <w:t>Сравнительный анализ трёх сценариев</w:t>
      </w:r>
    </w:p>
    <w:p>
      <w:pPr>
        <w:jc w:val="center"/>
      </w:pPr>
      <w:r>
        <w:rPr>
          <w:sz w:val="22"/>
        </w:rPr>
        <w:t>Дата отчёта: 30.10.2025</w:t>
      </w:r>
    </w:p>
    <w:p>
      <w:r>
        <w:br w:type="page"/>
      </w:r>
    </w:p>
    <w:p>
      <w:pPr>
        <w:pStyle w:val="Heading1"/>
        <w:jc w:val="left"/>
      </w:pPr>
      <w:r>
        <w:t>1. Резюме</w:t>
      </w:r>
    </w:p>
    <w:p>
      <w:r>
        <w:rPr>
          <w:sz w:val="22"/>
        </w:rPr>
        <w:t>Настоящий отчёт представляет комплексный анализ производительности системы обработки объектов после загрузки из DU за период июль-октябрь 2025 года. Проанализированы три сценария с прогрессивными улучшениями.</w:t>
      </w:r>
    </w:p>
    <w:p/>
    <w:p>
      <w:r>
        <w:rPr>
          <w:b/>
          <w:sz w:val="22"/>
        </w:rPr>
        <w:t>Ключевые результаты:</w:t>
      </w:r>
    </w:p>
    <w:p>
      <w:r>
        <w:rPr>
          <w:sz w:val="22"/>
        </w:rPr>
        <w:t>• Без дублей обменов: среднее время 163.7 мин/день, ускорение в 1.8× раз (улучшение на 45%)</w:t>
      </w:r>
    </w:p>
    <w:p>
      <w:r>
        <w:rPr>
          <w:sz w:val="22"/>
        </w:rPr>
        <w:t>• Без дублей обменов + Параллельные портфели: среднее время 68.7 мин/день, ускорение в 4.3× раз (улучшение на 77%)</w:t>
      </w:r>
    </w:p>
    <w:p>
      <w:r>
        <w:br w:type="page"/>
      </w:r>
    </w:p>
    <w:p>
      <w:pPr>
        <w:pStyle w:val="Heading1"/>
        <w:jc w:val="left"/>
      </w:pPr>
      <w:r>
        <w:t>2. Описание сценариев</w:t>
      </w:r>
    </w:p>
    <w:p>
      <w:pPr>
        <w:pStyle w:val="Heading2"/>
        <w:jc w:val="left"/>
      </w:pPr>
      <w:r>
        <w:t>2.1. Типовой (базовый)</w:t>
      </w:r>
    </w:p>
    <w:p>
      <w:r>
        <w:rPr>
          <w:sz w:val="22"/>
        </w:rPr>
        <w:t>Период: 01.07.2025 - 08.10.2025 (96 дней)</w:t>
      </w:r>
    </w:p>
    <w:p>
      <w:r>
        <w:rPr>
          <w:sz w:val="22"/>
        </w:rPr>
        <w:t>Стандартный сценарий обработки без оптимизаций. Используется как базовая линия для сравнения.</w:t>
      </w:r>
    </w:p>
    <w:p>
      <w:pPr>
        <w:pStyle w:val="Heading2"/>
        <w:jc w:val="left"/>
      </w:pPr>
      <w:r>
        <w:t>2.2. Без дублей обменов</w:t>
      </w:r>
    </w:p>
    <w:p>
      <w:r>
        <w:rPr>
          <w:sz w:val="22"/>
        </w:rPr>
        <w:t>Период: 09.10.2025 - 16.10.2025 (7 дней)</w:t>
      </w:r>
    </w:p>
    <w:p>
      <w:r>
        <w:rPr>
          <w:sz w:val="22"/>
        </w:rPr>
        <w:t>Оптимизирован процесс обмена данными с устранением дублирующих операций.</w:t>
      </w:r>
    </w:p>
    <w:p>
      <w:pPr>
        <w:pStyle w:val="Heading2"/>
        <w:jc w:val="left"/>
      </w:pPr>
      <w:r>
        <w:t>2.3. Без дублей обменов + Параллельные портфели</w:t>
      </w:r>
    </w:p>
    <w:p>
      <w:r>
        <w:rPr>
          <w:sz w:val="22"/>
        </w:rPr>
        <w:t>Период: 17.10.2025 - 30.10.2025 (14 дней)</w:t>
      </w:r>
    </w:p>
    <w:p>
      <w:r>
        <w:rPr>
          <w:sz w:val="22"/>
        </w:rPr>
        <w:t>Добавлена параллельная обработка портфелей в дополнение к устранению дублей.</w:t>
      </w:r>
    </w:p>
    <w:p>
      <w:r>
        <w:br w:type="page"/>
      </w:r>
    </w:p>
    <w:p>
      <w:pPr>
        <w:pStyle w:val="Heading1"/>
        <w:jc w:val="left"/>
      </w:pPr>
      <w:r>
        <w:t>3. Визуальный анализ</w:t>
      </w:r>
    </w:p>
    <w:p>
      <w:pPr>
        <w:pStyle w:val="Heading2"/>
        <w:jc w:val="left"/>
      </w:pPr>
      <w:r>
        <w:t>3.1. Ежедневное время обработки</w:t>
      </w:r>
    </w:p>
    <w:p>
      <w:r>
        <w:drawing>
          <wp:inline xmlns:a="http://schemas.openxmlformats.org/drawingml/2006/main" xmlns:pic="http://schemas.openxmlformats.org/drawingml/2006/picture">
            <wp:extent cx="5943600" cy="29468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2"/>
        </w:rPr>
        <w:t>График показывает ежедневное время обработки для каждого сценария. Отчётливо видно снижение времени обработки при переходе между сценариями.</w:t>
      </w:r>
    </w:p>
    <w:p>
      <w:r>
        <w:br w:type="page"/>
      </w:r>
    </w:p>
    <w:p>
      <w:pPr>
        <w:pStyle w:val="Heading2"/>
        <w:jc w:val="left"/>
      </w:pPr>
      <w:r>
        <w:t>3.2. Статистическое распределение</w:t>
      </w:r>
    </w:p>
    <w:p>
      <w:r>
        <w:drawing>
          <wp:inline xmlns:a="http://schemas.openxmlformats.org/drawingml/2006/main" xmlns:pic="http://schemas.openxmlformats.org/drawingml/2006/picture">
            <wp:extent cx="5943600" cy="35445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2"/>
        </w:rPr>
        <w:t>Box plot демонстрирует распределение значений, медиану и выбросы для каждого сценария.</w:t>
      </w:r>
    </w:p>
    <w:p>
      <w:r>
        <w:br w:type="page"/>
      </w:r>
    </w:p>
    <w:p>
      <w:pPr>
        <w:pStyle w:val="Heading2"/>
        <w:jc w:val="left"/>
      </w:pPr>
      <w:r>
        <w:t>3.3. Скользящее среднее</w:t>
      </w:r>
    </w:p>
    <w:p>
      <w:r>
        <w:drawing>
          <wp:inline xmlns:a="http://schemas.openxmlformats.org/drawingml/2006/main" xmlns:pic="http://schemas.openxmlformats.org/drawingml/2006/picture">
            <wp:extent cx="5943600" cy="29468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2"/>
        </w:rPr>
        <w:t>7-дневное скользящее среднее показывает общие тренды без краткосрочных колебаний.</w:t>
      </w:r>
    </w:p>
    <w:p>
      <w:r>
        <w:br w:type="page"/>
      </w:r>
    </w:p>
    <w:p>
      <w:pPr>
        <w:pStyle w:val="Heading2"/>
        <w:jc w:val="left"/>
      </w:pPr>
      <w:r>
        <w:t>3.4. Коэффициент ускорения</w:t>
      </w:r>
    </w:p>
    <w:p>
      <w:r>
        <w:drawing>
          <wp:inline xmlns:a="http://schemas.openxmlformats.org/drawingml/2006/main" xmlns:pic="http://schemas.openxmlformats.org/drawingml/2006/picture">
            <wp:extent cx="5943600" cy="29468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2"/>
        </w:rPr>
        <w:t>График демонстрирует во сколько раз каждый сценарий быстрее базового.</w:t>
      </w:r>
    </w:p>
    <w:p>
      <w:r>
        <w:br w:type="page"/>
      </w:r>
    </w:p>
    <w:p>
      <w:pPr>
        <w:pStyle w:val="Heading2"/>
        <w:jc w:val="left"/>
      </w:pPr>
      <w:r>
        <w:t>3.5. Сводное сравнение</w:t>
      </w:r>
    </w:p>
    <w:p>
      <w:r>
        <w:drawing>
          <wp:inline xmlns:a="http://schemas.openxmlformats.org/drawingml/2006/main" xmlns:pic="http://schemas.openxmlformats.org/drawingml/2006/picture">
            <wp:extent cx="5943600" cy="354214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2"/>
        </w:rPr>
        <w:t>Сравнение ключевых статистических показателей: среднее, медиана и стандартное отклонение.</w:t>
      </w:r>
    </w:p>
    <w:p>
      <w:r>
        <w:br w:type="page"/>
      </w:r>
    </w:p>
    <w:p>
      <w:pPr>
        <w:pStyle w:val="Heading1"/>
        <w:jc w:val="left"/>
      </w:pPr>
      <w:r>
        <w:t>4. Статистические показатели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Сценарий</w:t>
            </w:r>
          </w:p>
        </w:tc>
        <w:tc>
          <w:tcPr>
            <w:tcW w:type="dxa" w:w="1080"/>
          </w:tcPr>
          <w:p>
            <w:r>
              <w:rPr>
                <w:b/>
              </w:rPr>
              <w:t>Дней</w:t>
            </w:r>
          </w:p>
        </w:tc>
        <w:tc>
          <w:tcPr>
            <w:tcW w:type="dxa" w:w="1080"/>
          </w:tcPr>
          <w:p>
            <w:r>
              <w:rPr>
                <w:b/>
              </w:rPr>
              <w:t>Среднее</w:t>
            </w:r>
          </w:p>
        </w:tc>
        <w:tc>
          <w:tcPr>
            <w:tcW w:type="dxa" w:w="1080"/>
          </w:tcPr>
          <w:p>
            <w:r>
              <w:rPr>
                <w:b/>
              </w:rPr>
              <w:t>Медиана</w:t>
            </w:r>
          </w:p>
        </w:tc>
        <w:tc>
          <w:tcPr>
            <w:tcW w:type="dxa" w:w="1080"/>
          </w:tcPr>
          <w:p>
            <w:r>
              <w:rPr>
                <w:b/>
              </w:rPr>
              <w:t>Мин</w:t>
            </w:r>
          </w:p>
        </w:tc>
        <w:tc>
          <w:tcPr>
            <w:tcW w:type="dxa" w:w="1080"/>
          </w:tcPr>
          <w:p>
            <w:r>
              <w:rPr>
                <w:b/>
              </w:rPr>
              <w:t>Макс</w:t>
            </w:r>
          </w:p>
        </w:tc>
        <w:tc>
          <w:tcPr>
            <w:tcW w:type="dxa" w:w="1080"/>
          </w:tcPr>
          <w:p>
            <w:r>
              <w:rPr>
                <w:b/>
              </w:rPr>
              <w:t>Ст.откл.</w:t>
            </w:r>
          </w:p>
        </w:tc>
        <w:tc>
          <w:tcPr>
            <w:tcW w:type="dxa" w:w="1080"/>
          </w:tcPr>
          <w:p>
            <w:r>
              <w:rPr>
                <w:b/>
              </w:rPr>
              <w:t>Ускорение</w:t>
            </w:r>
          </w:p>
        </w:tc>
      </w:tr>
      <w:tr>
        <w:tc>
          <w:tcPr>
            <w:tcW w:type="dxa" w:w="1080"/>
          </w:tcPr>
          <w:p>
            <w:r>
              <w:t>Типовой</w:t>
            </w:r>
          </w:p>
        </w:tc>
        <w:tc>
          <w:tcPr>
            <w:tcW w:type="dxa" w:w="1080"/>
          </w:tcPr>
          <w:p>
            <w:r>
              <w:t>96</w:t>
            </w:r>
          </w:p>
        </w:tc>
        <w:tc>
          <w:tcPr>
            <w:tcW w:type="dxa" w:w="1080"/>
          </w:tcPr>
          <w:p>
            <w:r>
              <w:t>297.6</w:t>
            </w:r>
          </w:p>
        </w:tc>
        <w:tc>
          <w:tcPr>
            <w:tcW w:type="dxa" w:w="1080"/>
          </w:tcPr>
          <w:p>
            <w:r>
              <w:t>271.5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1096</w:t>
            </w:r>
          </w:p>
        </w:tc>
        <w:tc>
          <w:tcPr>
            <w:tcW w:type="dxa" w:w="1080"/>
          </w:tcPr>
          <w:p>
            <w:r>
              <w:t>243.4</w:t>
            </w:r>
          </w:p>
        </w:tc>
        <w:tc>
          <w:tcPr>
            <w:tcW w:type="dxa" w:w="1080"/>
          </w:tcPr>
          <w:p>
            <w:r>
              <w:t>1.00×</w:t>
            </w:r>
          </w:p>
        </w:tc>
      </w:tr>
      <w:tr>
        <w:tc>
          <w:tcPr>
            <w:tcW w:type="dxa" w:w="1080"/>
          </w:tcPr>
          <w:p>
            <w:r>
              <w:t>Без дублей обменов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163.7</w:t>
            </w:r>
          </w:p>
        </w:tc>
        <w:tc>
          <w:tcPr>
            <w:tcW w:type="dxa" w:w="1080"/>
          </w:tcPr>
          <w:p>
            <w:r>
              <w:t>190.0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238</w:t>
            </w:r>
          </w:p>
        </w:tc>
        <w:tc>
          <w:tcPr>
            <w:tcW w:type="dxa" w:w="1080"/>
          </w:tcPr>
          <w:p>
            <w:r>
              <w:t>65.8</w:t>
            </w:r>
          </w:p>
        </w:tc>
        <w:tc>
          <w:tcPr>
            <w:tcW w:type="dxa" w:w="1080"/>
          </w:tcPr>
          <w:p>
            <w:r>
              <w:t>1.82×</w:t>
            </w:r>
          </w:p>
        </w:tc>
      </w:tr>
      <w:tr>
        <w:tc>
          <w:tcPr>
            <w:tcW w:type="dxa" w:w="1080"/>
          </w:tcPr>
          <w:p>
            <w:r>
              <w:t>Без дублей обменов + Параллельные портфели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68.7</w:t>
            </w:r>
          </w:p>
        </w:tc>
        <w:tc>
          <w:tcPr>
            <w:tcW w:type="dxa" w:w="1080"/>
          </w:tcPr>
          <w:p>
            <w:r>
              <w:t>64.0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183</w:t>
            </w:r>
          </w:p>
        </w:tc>
        <w:tc>
          <w:tcPr>
            <w:tcW w:type="dxa" w:w="1080"/>
          </w:tcPr>
          <w:p>
            <w:r>
              <w:t>50.2</w:t>
            </w:r>
          </w:p>
        </w:tc>
        <w:tc>
          <w:tcPr>
            <w:tcW w:type="dxa" w:w="1080"/>
          </w:tcPr>
          <w:p>
            <w:r>
              <w:t>4.33×</w:t>
            </w:r>
          </w:p>
        </w:tc>
      </w:tr>
    </w:tbl>
    <w:p>
      <w:r>
        <w:br w:type="page"/>
      </w:r>
    </w:p>
    <w:p>
      <w:pPr>
        <w:pStyle w:val="Heading1"/>
        <w:jc w:val="left"/>
      </w:pPr>
      <w:r>
        <w:t>5. Выводы и рекомендации</w:t>
      </w:r>
    </w:p>
    <w:p>
      <w:r>
        <w:rPr>
          <w:b/>
          <w:sz w:val="22"/>
        </w:rPr>
        <w:t>5.1. Основные выводы:</w:t>
      </w:r>
    </w:p>
    <w:p>
      <w:r>
        <w:rPr>
          <w:sz w:val="22"/>
        </w:rPr>
        <w:t>• Внедрение оптимизаций привело к существенному улучшению производительности системы</w:t>
      </w:r>
    </w:p>
    <w:p>
      <w:r>
        <w:rPr>
          <w:sz w:val="22"/>
        </w:rPr>
        <w:t>• Финальный сценарий демонстрирует стабильную работу с минимальным временем обработки</w:t>
      </w:r>
    </w:p>
    <w:p>
      <w:r>
        <w:rPr>
          <w:sz w:val="22"/>
        </w:rPr>
        <w:t>• Наибольший эффект достигнут за счёт комбинации устранения дублей и распараллеливания</w:t>
      </w:r>
    </w:p>
    <w:p/>
    <w:p>
      <w:r>
        <w:rPr>
          <w:b/>
          <w:sz w:val="22"/>
        </w:rPr>
        <w:t>5.2. Рекомендации:</w:t>
      </w:r>
    </w:p>
    <w:p>
      <w:r>
        <w:rPr>
          <w:sz w:val="22"/>
        </w:rPr>
        <w:t>• Продолжить мониторинг производительности в текущей конфигурации</w:t>
      </w:r>
    </w:p>
    <w:p>
      <w:r>
        <w:rPr>
          <w:sz w:val="22"/>
        </w:rPr>
        <w:t>• Рассмотреть возможность дополнительной оптимизации для дней с пиковой нагрузкой</w:t>
      </w:r>
    </w:p>
    <w:p>
      <w:r>
        <w:rPr>
          <w:sz w:val="22"/>
        </w:rPr>
        <w:t>• Документировать лучшие практики для использования в других подсистемах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