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D4E89"/>
          <w:sz w:val="32"/>
        </w:rPr>
        <w:t>Отчет о выполнении целей за 2026 год</w:t>
      </w:r>
    </w:p>
    <w:p>
      <w:pPr>
        <w:jc w:val="center"/>
      </w:pPr>
      <w:r>
        <w:rPr>
          <w:rFonts w:ascii="Calibri" w:hAnsi="Calibri"/>
          <w:i/>
          <w:sz w:val="24"/>
        </w:rPr>
        <w:t>Самооценка эффективности деятельности</w:t>
      </w:r>
    </w:p>
    <w:p>
      <w:r>
        <w:rPr>
          <w:rFonts w:ascii="Calibri" w:hAnsi="Calibri"/>
          <w:b w:val="0"/>
          <w:sz w:val="22"/>
        </w:rPr>
        <w:t>Чмыхалов Алексей Анатольевич, главный специалист-программист, Application Development.</w:t>
      </w:r>
    </w:p>
    <w:p>
      <w:r>
        <w:rPr>
          <w:rFonts w:ascii="Calibri" w:hAnsi="Calibri"/>
          <w:b w:val="0"/>
          <w:sz w:val="22"/>
        </w:rPr>
        <w:t>Оценивающий руководитель: Константинов Алексей Владимирович.</w:t>
      </w:r>
    </w:p>
    <w:p>
      <w:r>
        <w:rPr>
          <w:rFonts w:ascii="Calibri" w:hAnsi="Calibri"/>
          <w:b w:val="0"/>
          <w:sz w:val="22"/>
        </w:rPr>
        <w:t>Форма: план-отчет по целям за 2026 год, этап «Корректировка целей» завершена. Срок отчета: 18.10.2026.</w:t>
      </w:r>
    </w:p>
    <w:p>
      <w:r>
        <w:rPr>
          <w:rFonts w:ascii="Calibri" w:hAnsi="Calibri"/>
          <w:b w:val="0"/>
          <w:sz w:val="22"/>
        </w:rPr>
        <w:t>Отметка «выполнено с превышением» ставится, если факт лучше порога не меньше чем на 20% либо тот же порог взят на большем объеме. Отметка «выполнено» ставится, когда порог взят. Для целей безопасности нормальный исход и есть 100%.</w:t>
      </w:r>
    </w:p>
    <w:p>
      <w:pPr>
        <w:pStyle w:val="Heading1"/>
      </w:pPr>
      <w:r>
        <w:rPr>
          <w:rFonts w:ascii="Calibri" w:hAnsi="Calibri"/>
          <w:color w:val="1D4E89"/>
        </w:rPr>
        <w:t>1. Цели по развитию</w:t>
      </w:r>
    </w:p>
    <w:p>
      <w:pPr>
        <w:pStyle w:val="Heading2"/>
      </w:pPr>
      <w:r>
        <w:rPr>
          <w:rFonts w:ascii="Calibri" w:hAnsi="Calibri"/>
          <w:color w:val="1D4E89"/>
        </w:rPr>
        <w:t>1.1. Освоить базовые функции Cursor и внедрить их в рабочий процесс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Срок: 31.12.2026. Порог: скорость типовых операций выше на 20% на трех задачах и не меньше трех практических кейсов (генерация кода, отладка, рефакторинг) с фиксацией результата.</w:t>
      </w:r>
    </w:p>
    <w:p>
      <w:r>
        <w:rPr>
          <w:rFonts w:ascii="Calibri" w:hAnsi="Calibri"/>
          <w:b w:val="0"/>
          <w:sz w:val="22"/>
        </w:rPr>
        <w:t>Cursor встроен в ежедневную разработку: генерация и правка модулей, разбор узких мест, сверка было/стало, подготовка протоколов. Практических кейсов больше трех. На тех же сценариях, где сравнивались базовый и новый замер, ускорение выше порога 20%:</w:t>
      </w:r>
    </w:p>
    <w:p>
      <w:pPr>
        <w:pStyle w:val="ListBullet"/>
      </w:pPr>
      <w:r>
        <w:rPr>
          <w:rFonts w:ascii="Calibri" w:hAnsi="Calibri"/>
          <w:sz w:val="22"/>
        </w:rPr>
        <w:t>Загрузка сделок, IMAPPS-34861: с 22,2 мин на 1 000 сделок до 0,45 мин на 1 000 на финальном прогоне 100 000 сделок.</w:t>
      </w:r>
    </w:p>
    <w:p>
      <w:pPr>
        <w:pStyle w:val="ListBullet"/>
      </w:pPr>
      <w:r>
        <w:rPr>
          <w:rFonts w:ascii="Calibri" w:hAnsi="Calibri"/>
          <w:sz w:val="22"/>
        </w:rPr>
        <w:t>Исполнение сделок Т-1, IMAPPS-34094: проведение 3 ч 36 мин на 30 000 стало 45 мин, на 100 000 сделок 1 ч 47 мин.</w:t>
      </w:r>
    </w:p>
    <w:p>
      <w:pPr>
        <w:pStyle w:val="ListBullet"/>
      </w:pPr>
      <w:r>
        <w:rPr>
          <w:rFonts w:ascii="Calibri" w:hAnsi="Calibri"/>
          <w:sz w:val="22"/>
        </w:rPr>
        <w:t>Вечерние регламенты, этап 3, IMDEV-8663 и IMDEV-9320: розница около 23 тыс. договоров около 40 мин вместо медианы ПРОД около 98 мин; обычные договоры около 3,5 тыс. около 20 мин вместо около 40 мин.</w:t>
      </w:r>
    </w:p>
    <w:p>
      <w:pPr>
        <w:pStyle w:val="Heading1"/>
      </w:pPr>
      <w:r>
        <w:rPr>
          <w:rFonts w:ascii="Calibri" w:hAnsi="Calibri"/>
          <w:color w:val="1D4E89"/>
        </w:rPr>
        <w:t>2. Цели деятельности</w:t>
      </w:r>
    </w:p>
    <w:p>
      <w:r>
        <w:rPr>
          <w:rFonts w:ascii="Calibri" w:hAnsi="Calibri"/>
          <w:b w:val="0"/>
          <w:sz w:val="22"/>
        </w:rPr>
        <w:t>Веса ниже - после корректировки. Сумма весов 100%.</w:t>
      </w:r>
    </w:p>
    <w:p>
      <w:pPr>
        <w:pStyle w:val="Heading2"/>
      </w:pPr>
      <w:r>
        <w:rPr>
          <w:rFonts w:ascii="Calibri" w:hAnsi="Calibri"/>
          <w:color w:val="1D4E89"/>
        </w:rPr>
        <w:t>2.1. Закрытие рисков/инцидентов ИТ Безопасности. Вес 5%. КРИТИЧНО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Все инциденты и риски ИТ Безопасности были своевременно закрыты с подтверждением командой IT Security. Обеспечено оперативное реагирование на возникающие инциденты и риски, проведена работа по их устранению и предотвращению повторного возникновения.</w:t>
      </w:r>
    </w:p>
    <w:p>
      <w:r>
        <w:rPr>
          <w:rFonts w:ascii="Calibri" w:hAnsi="Calibri"/>
          <w:b/>
          <w:sz w:val="22"/>
        </w:rPr>
        <w:t>Результаты:</w:t>
      </w:r>
    </w:p>
    <w:p>
      <w:pPr>
        <w:pStyle w:val="ListBullet"/>
      </w:pPr>
      <w:r>
        <w:rPr>
          <w:rFonts w:ascii="Calibri" w:hAnsi="Calibri"/>
          <w:sz w:val="22"/>
        </w:rPr>
        <w:t>Все инциденты ИТ Безопасности закрыты с подтверждением командой IT Security</w:t>
      </w:r>
    </w:p>
    <w:p>
      <w:pPr>
        <w:pStyle w:val="ListBullet"/>
      </w:pPr>
      <w:r>
        <w:rPr>
          <w:rFonts w:ascii="Calibri" w:hAnsi="Calibri"/>
          <w:sz w:val="22"/>
        </w:rPr>
        <w:t>Все риски ИТ Безопасности закрыты с подтверждением командой IT Security</w:t>
      </w:r>
    </w:p>
    <w:p>
      <w:pPr>
        <w:pStyle w:val="ListBullet"/>
      </w:pPr>
      <w:r>
        <w:rPr>
          <w:rFonts w:ascii="Calibri" w:hAnsi="Calibri"/>
          <w:sz w:val="22"/>
        </w:rPr>
        <w:t>Обеспечена непрерывная работа по мониторингу и предотвращению новых рисков</w:t>
      </w:r>
    </w:p>
    <w:p>
      <w:pPr>
        <w:pStyle w:val="ListBullet"/>
      </w:pPr>
      <w:r>
        <w:rPr>
          <w:rFonts w:ascii="Calibri" w:hAnsi="Calibri"/>
          <w:sz w:val="22"/>
        </w:rPr>
        <w:t>Пройдены все внутренние курсы по информационной безопасности в установленные сроки</w:t>
      </w:r>
    </w:p>
    <w:p>
      <w:pPr>
        <w:pStyle w:val="Heading2"/>
      </w:pPr>
      <w:r>
        <w:rPr>
          <w:rFonts w:ascii="Calibri" w:hAnsi="Calibri"/>
          <w:color w:val="1D4E89"/>
        </w:rPr>
        <w:t>2.2. Закрытие критичных уязвимостей ИТ Безопасности. Вес 5%. КРИТИЧНО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Все критичные уязвимости ИТ Безопасности были устранены в установленные сроки с подтверждением командой IT Security. Проведена работа по анализу уязвимостей, разработке и внедрению решений по их устранению.</w:t>
      </w:r>
    </w:p>
    <w:p>
      <w:r>
        <w:rPr>
          <w:rFonts w:ascii="Calibri" w:hAnsi="Calibri"/>
          <w:b/>
          <w:sz w:val="22"/>
        </w:rPr>
        <w:t>Результаты:</w:t>
      </w:r>
    </w:p>
    <w:p>
      <w:pPr>
        <w:pStyle w:val="ListBullet"/>
      </w:pPr>
      <w:r>
        <w:rPr>
          <w:rFonts w:ascii="Calibri" w:hAnsi="Calibri"/>
          <w:sz w:val="22"/>
        </w:rPr>
        <w:t>Все критичные уязвимости ИТ Безопасности закрыты с подтверждением командой IT Security</w:t>
      </w:r>
    </w:p>
    <w:p>
      <w:pPr>
        <w:pStyle w:val="ListBullet"/>
      </w:pPr>
      <w:r>
        <w:rPr>
          <w:rFonts w:ascii="Calibri" w:hAnsi="Calibri"/>
          <w:sz w:val="22"/>
        </w:rPr>
        <w:t>Обеспечена безопасность информационных систем компании</w:t>
      </w:r>
    </w:p>
    <w:p>
      <w:pPr>
        <w:pStyle w:val="ListBullet"/>
      </w:pPr>
      <w:r>
        <w:rPr>
          <w:rFonts w:ascii="Calibri" w:hAnsi="Calibri"/>
          <w:sz w:val="22"/>
        </w:rPr>
        <w:t>Проведена профилактическая работа по предотвращению новых уязвимостей</w:t>
      </w:r>
    </w:p>
    <w:p>
      <w:pPr>
        <w:pStyle w:val="ListBullet"/>
      </w:pPr>
      <w:r>
        <w:rPr>
          <w:rFonts w:ascii="Calibri" w:hAnsi="Calibri"/>
          <w:sz w:val="22"/>
        </w:rPr>
        <w:t>Пройдены все внутренние курсы по информационной безопасности в установленные сроки</w:t>
      </w:r>
    </w:p>
    <w:p>
      <w:pPr>
        <w:pStyle w:val="Heading2"/>
      </w:pPr>
      <w:r>
        <w:rPr>
          <w:rFonts w:ascii="Calibri" w:hAnsi="Calibri"/>
          <w:color w:val="1D4E89"/>
        </w:rPr>
        <w:t>2.3. Ускорить сценарий «Загрузка сделок» (розница ДУ).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 С ПРЕВЫШЕНИЕМ ЦЕЛЕВЫХ ПОКАЗАТЕЛЕЙ</w:t>
      </w:r>
    </w:p>
    <w:p>
      <w:r>
        <w:rPr>
          <w:rFonts w:ascii="Calibri" w:hAnsi="Calibri"/>
          <w:b w:val="0"/>
          <w:sz w:val="22"/>
        </w:rPr>
        <w:t>Порог: не более 40 мин на 30 000 сделок в операционном потоке. База: 150 мин. До корректировки вес был 20%, после корректировки 10%.</w:t>
      </w:r>
    </w:p>
    <w:p>
      <w:r>
        <w:rPr>
          <w:rFonts w:ascii="Calibri" w:hAnsi="Calibri"/>
          <w:b w:val="0"/>
          <w:sz w:val="22"/>
        </w:rPr>
        <w:t>Финальный прогон, карточка 28.04.2026: 45 мин на 100 000 сделок (получение 20 мин, аналог Tibco, плюс создание 25 мин, 10 потоков). Удельно 0,45 мин на 1 000 при пороге 1,33 мин на 1 000. На контрольные 30 000 это около 13,5 мин, запас к 40 мин около 66%. Объем прогона в 3,3 раза больше контрольного.</w:t>
      </w:r>
    </w:p>
    <w:tbl>
      <w:tblPr>
        <w:tblW w:type="auto" w:w="0"/>
        <w:tblLook w:firstColumn="1" w:firstRow="1" w:lastColumn="0" w:lastRow="0" w:noHBand="0" w:noVBand="1" w:val="04A0"/>
        <w:tblW w:w="9780" w:type="dxa"/>
        <w:tblBorders>
          <w:top w:val="single" w:sz="8" w:space="0" w:color="1D4E89"/>
          <w:left w:val="single" w:sz="8" w:space="0" w:color="1D4E89"/>
          <w:bottom w:val="single" w:sz="8" w:space="0" w:color="1D4E89"/>
          <w:right w:val="single" w:sz="8" w:space="0" w:color="1D4E89"/>
          <w:insideH w:val="single" w:sz="8" w:space="0" w:color="1D4E89"/>
          <w:insideV w:val="single" w:sz="8" w:space="0" w:color="1D4E89"/>
        </w:tblBorders>
        <w:jc w:val="center"/>
      </w:tblPr>
      <w:tblGrid>
        <w:gridCol w:w="5043"/>
        <w:gridCol w:w="5043"/>
      </w:tblGrid>
      <w:tr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плана</w:t>
            </w:r>
          </w:p>
        </w:tc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факта</w:t>
            </w:r>
          </w:p>
        </w:tc>
      </w:tr>
      <w:tr>
        <w:tc>
          <w:tcPr>
            <w:tcW w:type="dxa" w:w="4890"/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не более 40 мин на 30 000 сделок</w:t>
            </w:r>
          </w:p>
        </w:tc>
        <w:tc>
          <w:tcPr>
            <w:tcW w:type="dxa" w:w="4890"/>
            <w:shd w:val="clear" w:color="auto" w:fill="E5F4E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2"/>
              </w:rPr>
              <w:t>45 мин на 100 000 сделок (около 13,5 мин на 30 000)</w:t>
            </w:r>
          </w:p>
        </w:tc>
      </w:tr>
      <w:tr>
        <w:tc>
          <w:tcPr>
            <w:tcW w:type="dxa" w:w="4890"/>
            <w:gridSpan w:val="2"/>
            <w:shd w:val="clear" w:color="auto" w:fill="FFF8E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Превышение: порог взят на объеме в 3,3 раза больше, запас к 40 мин около 66%.</w:t>
            </w:r>
          </w:p>
        </w:tc>
      </w:tr>
    </w:tbl>
    <w:p>
      <w:r>
        <w:rPr>
          <w:rFonts w:ascii="Calibri" w:hAnsi="Calibri"/>
          <w:b w:val="0"/>
          <w:sz w:val="22"/>
        </w:rPr>
        <w:t>Сделано: запросы справочников вынесены из цикла по сделкам, создание документов разведено на 10 фоновых потоков.</w:t>
      </w:r>
    </w:p>
    <w:p>
      <w:r>
        <w:rPr>
          <w:rFonts w:ascii="Calibri" w:hAnsi="Calibri"/>
          <w:b w:val="0"/>
          <w:sz w:val="22"/>
        </w:rPr>
        <w:t>Связанные задачи:</w:t>
      </w:r>
    </w:p>
    <w:p>
      <w:pPr>
        <w:pStyle w:val="ListBullet"/>
      </w:pPr>
      <w:r>
        <w:rPr>
          <w:rFonts w:ascii="Calibri" w:hAnsi="Calibri"/>
          <w:sz w:val="22"/>
        </w:rPr>
        <w:t>IMAPPS-34861. Оптимизация обработки внЗагрузкаСделокDU-NEW. Closed.</w:t>
      </w:r>
    </w:p>
    <w:p>
      <w:pPr>
        <w:pStyle w:val="ListBullet"/>
      </w:pPr>
      <w:r>
        <w:rPr>
          <w:rFonts w:ascii="Calibri" w:hAnsi="Calibri"/>
          <w:sz w:val="22"/>
        </w:rPr>
        <w:t>IMAPPS-34664. Подготовить и провести сквозной тест ДУ - ФИН на 30 тыс. сделок. Генератор входа как из Tibco.</w:t>
      </w:r>
    </w:p>
    <w:p>
      <w:pPr>
        <w:pStyle w:val="Heading2"/>
      </w:pPr>
      <w:r>
        <w:rPr>
          <w:rFonts w:ascii="Calibri" w:hAnsi="Calibri"/>
          <w:color w:val="1D4E89"/>
        </w:rPr>
        <w:t>2.4. Сократить суммарное время ключевых регламентов ДУ.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 С ПРЕВЫШЕНИЕМ ЦЕЛЕВЫХ ПОКАЗАТЕЛЕЙ</w:t>
      </w:r>
    </w:p>
    <w:p>
      <w:r>
        <w:rPr>
          <w:rFonts w:ascii="Calibri" w:hAnsi="Calibri"/>
          <w:b w:val="0"/>
          <w:sz w:val="22"/>
        </w:rPr>
        <w:t>Порог: вечерние регламентные операции, утренние регламентные операции и регламент «Вознаграждение за управление» суммарно не более 6 ч на 25 000 договоров. База: вечерние на 15 000 были 13 ч 52 мин (тест на 25 000 не завершился), утренние на 15 000 - 2 ч 2 мин, вознаграждение - 2 ч 13 мин на 25 000. До корректировки вес был 20%, после корректировки 10%.</w:t>
      </w:r>
    </w:p>
    <w:p>
      <w:r>
        <w:rPr>
          <w:rFonts w:ascii="Calibri" w:hAnsi="Calibri"/>
          <w:b w:val="0"/>
          <w:sz w:val="22"/>
        </w:rPr>
        <w:t>Последние замеры вечерних - этап 3, стенд DR, 12 потоков, протокол 15.08.2026:</w:t>
      </w:r>
    </w:p>
    <w:p>
      <w:pPr>
        <w:pStyle w:val="ListBullet"/>
      </w:pPr>
      <w:r>
        <w:rPr>
          <w:rFonts w:ascii="Calibri" w:hAnsi="Calibri"/>
          <w:sz w:val="22"/>
        </w:rPr>
        <w:t>Розничное ДУ, около 23 тыс. договоров: 40 мин (в протоколе 41 мин на около 22 тыс.). До этого на ПРОД медиана была около 98 мин.</w:t>
      </w:r>
    </w:p>
    <w:p>
      <w:pPr>
        <w:pStyle w:val="ListBullet"/>
      </w:pPr>
      <w:r>
        <w:rPr>
          <w:rFonts w:ascii="Calibri" w:hAnsi="Calibri"/>
          <w:sz w:val="22"/>
        </w:rPr>
        <w:t>Обычные договоры (не розница), около 3,5 тыс.: 20 мин (в протоколе 19 мин на около 3 тыс.). До этого на ПРОД было около 40 мин.</w:t>
      </w:r>
    </w:p>
    <w:p>
      <w:r>
        <w:rPr>
          <w:rFonts w:ascii="Calibri" w:hAnsi="Calibri"/>
          <w:b w:val="0"/>
          <w:sz w:val="22"/>
        </w:rPr>
        <w:t>Сумма трех процессов на контрольном объеме: вечерние 40 мин, утренние около 30 мин, вознаграждение 1 ч 05 мин на 20 467 договоров. Вместе около 2 ч 15 мин. Запас к порогу 6 ч больше 60%.</w:t>
      </w:r>
    </w:p>
    <w:tbl>
      <w:tblPr>
        <w:tblW w:type="auto" w:w="0"/>
        <w:tblLook w:firstColumn="1" w:firstRow="1" w:lastColumn="0" w:lastRow="0" w:noHBand="0" w:noVBand="1" w:val="04A0"/>
        <w:tblW w:w="9780" w:type="dxa"/>
        <w:tblBorders>
          <w:top w:val="single" w:sz="8" w:space="0" w:color="1D4E89"/>
          <w:left w:val="single" w:sz="8" w:space="0" w:color="1D4E89"/>
          <w:bottom w:val="single" w:sz="8" w:space="0" w:color="1D4E89"/>
          <w:right w:val="single" w:sz="8" w:space="0" w:color="1D4E89"/>
          <w:insideH w:val="single" w:sz="8" w:space="0" w:color="1D4E89"/>
          <w:insideV w:val="single" w:sz="8" w:space="0" w:color="1D4E89"/>
        </w:tblBorders>
        <w:jc w:val="center"/>
      </w:tblPr>
      <w:tblGrid>
        <w:gridCol w:w="5043"/>
        <w:gridCol w:w="5043"/>
      </w:tblGrid>
      <w:tr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плана</w:t>
            </w:r>
          </w:p>
        </w:tc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факта</w:t>
            </w:r>
          </w:p>
        </w:tc>
      </w:tr>
      <w:tr>
        <w:tc>
          <w:tcPr>
            <w:tcW w:type="dxa" w:w="4890"/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не более 6 ч суммарно на 25 000 договоров</w:t>
            </w:r>
          </w:p>
        </w:tc>
        <w:tc>
          <w:tcPr>
            <w:tcW w:type="dxa" w:w="4890"/>
            <w:shd w:val="clear" w:color="auto" w:fill="E5F4E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2"/>
              </w:rPr>
              <w:t>около 2 ч 15 мин (40 мин + около 30 мин + 1 ч 05 мин)</w:t>
            </w:r>
          </w:p>
        </w:tc>
      </w:tr>
      <w:tr>
        <w:tc>
          <w:tcPr>
            <w:tcW w:type="dxa" w:w="4890"/>
            <w:gridSpan w:val="2"/>
            <w:shd w:val="clear" w:color="auto" w:fill="FFF8E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Превышение: запас к порогу 6 ч больше 60%.</w:t>
            </w:r>
          </w:p>
        </w:tc>
      </w:tr>
    </w:tbl>
    <w:p>
      <w:r>
        <w:rPr>
          <w:rFonts w:ascii="Calibri" w:hAnsi="Calibri"/>
          <w:b w:val="0"/>
          <w:sz w:val="22"/>
        </w:rPr>
        <w:t>Связанные задачи:</w:t>
      </w:r>
    </w:p>
    <w:p>
      <w:pPr>
        <w:pStyle w:val="ListBullet"/>
      </w:pPr>
      <w:r>
        <w:rPr>
          <w:rFonts w:ascii="Calibri" w:hAnsi="Calibri"/>
          <w:sz w:val="22"/>
        </w:rPr>
        <w:t>IMDEV-8663. Оптимизация вечерних регламентов по РДУ (Этап 3).</w:t>
      </w:r>
    </w:p>
    <w:p>
      <w:pPr>
        <w:pStyle w:val="ListBullet"/>
      </w:pPr>
      <w:r>
        <w:rPr>
          <w:rFonts w:ascii="Calibri" w:hAnsi="Calibri"/>
          <w:sz w:val="22"/>
        </w:rPr>
        <w:t>IMDEV-9320. Оптимизация вечерних регламентов по РДУ (Этап 3.1), фоновые задания.</w:t>
      </w:r>
    </w:p>
    <w:p>
      <w:pPr>
        <w:pStyle w:val="ListBullet"/>
      </w:pPr>
      <w:r>
        <w:rPr>
          <w:rFonts w:ascii="Calibri" w:hAnsi="Calibri"/>
          <w:sz w:val="22"/>
        </w:rPr>
        <w:t>IMDEV-9153. Оптимизация начисления ВУК РДУ в регламентные даты. 1 ч 04 мин 34 с на 20 467 договоров.</w:t>
      </w:r>
    </w:p>
    <w:p>
      <w:pPr>
        <w:pStyle w:val="ListBullet"/>
      </w:pPr>
      <w:r>
        <w:rPr>
          <w:rFonts w:ascii="Calibri" w:hAnsi="Calibri"/>
          <w:sz w:val="22"/>
        </w:rPr>
        <w:t>IMAPPS-35316. Оптимизация регламента «Вознаграждение за управление».</w:t>
      </w:r>
    </w:p>
    <w:p>
      <w:pPr>
        <w:pStyle w:val="Heading2"/>
      </w:pPr>
      <w:r>
        <w:rPr>
          <w:rFonts w:ascii="Calibri" w:hAnsi="Calibri"/>
          <w:color w:val="1D4E89"/>
        </w:rPr>
        <w:t>2.5. Ускорить исполнение сделок Т-1 (ДУ). Вес 20%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Порог: не более 2 ч на 100 000 сделок. База в карточке перехода: 3 ч 36 мин на 30 000, в формулировке цели указана база 12 ч. Контроль этапов открытия и закрытия раздельный. Вес 20%, без изменения.</w:t>
      </w:r>
    </w:p>
    <w:p>
      <w:r>
        <w:rPr>
          <w:rFonts w:ascii="Calibri" w:hAnsi="Calibri"/>
          <w:b w:val="0"/>
          <w:sz w:val="22"/>
        </w:rPr>
        <w:t>Карточка 05.05.2026, 12 потоков: проведение 1 ч 47 мин на 100 000 сделок. На 30 000 проведение стало 45 мин. Открытие на 100 000 - 32 мин, на 30 000 - 15 мин. Запас проведения к 2 часам - 13 мин, около 11%, поэтому отметка «выполнено», не «с превышением».</w:t>
      </w:r>
    </w:p>
    <w:p>
      <w:r>
        <w:rPr>
          <w:rFonts w:ascii="Calibri" w:hAnsi="Calibri"/>
          <w:b w:val="0"/>
          <w:sz w:val="22"/>
        </w:rPr>
        <w:t>Связанные задачи:</w:t>
      </w:r>
    </w:p>
    <w:p>
      <w:pPr>
        <w:pStyle w:val="ListBullet"/>
      </w:pPr>
      <w:r>
        <w:rPr>
          <w:rFonts w:ascii="Calibri" w:hAnsi="Calibri"/>
          <w:sz w:val="22"/>
        </w:rPr>
        <w:t>IMAPPS-34094. Оптимизация ДУ: исполнение сделок T+.</w:t>
      </w:r>
    </w:p>
    <w:p>
      <w:pPr>
        <w:pStyle w:val="ListBullet"/>
      </w:pPr>
      <w:r>
        <w:rPr>
          <w:rFonts w:ascii="Calibri" w:hAnsi="Calibri"/>
          <w:sz w:val="22"/>
        </w:rPr>
        <w:t>IMAPPS-34559. Снятие блокировки числа потоков в обработке внИсполнениеСделокТ+2_ДУ.</w:t>
      </w:r>
    </w:p>
    <w:p>
      <w:pPr>
        <w:pStyle w:val="ListBullet"/>
      </w:pPr>
      <w:r>
        <w:rPr>
          <w:rFonts w:ascii="Calibri" w:hAnsi="Calibri"/>
          <w:sz w:val="22"/>
        </w:rPr>
        <w:t>IMDEV-8634. Тестирование исполнения 100 тыс. сделок розницы ДУ.</w:t>
      </w:r>
    </w:p>
    <w:p>
      <w:pPr>
        <w:pStyle w:val="Heading2"/>
      </w:pPr>
      <w:r>
        <w:rPr>
          <w:rFonts w:ascii="Calibri" w:hAnsi="Calibri"/>
          <w:color w:val="1D4E89"/>
        </w:rPr>
        <w:t>2.6. Ускорить исполнение сделок в ФИН.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 С ПРЕВЫШЕНИЕМ ЦЕЛЕВЫХ ПОКАЗАТЕЛЕЙ</w:t>
      </w:r>
    </w:p>
    <w:p>
      <w:r>
        <w:rPr>
          <w:rFonts w:ascii="Calibri" w:hAnsi="Calibri"/>
          <w:b w:val="0"/>
          <w:sz w:val="22"/>
        </w:rPr>
        <w:t>Порог: не более 2 ч на 30 000 сделок Tn. База: 10 ч 33 мин. До корректировки вес был 20%, после корректировки 10%.</w:t>
      </w:r>
    </w:p>
    <w:p>
      <w:r>
        <w:rPr>
          <w:rFonts w:ascii="Calibri" w:hAnsi="Calibri"/>
          <w:b w:val="0"/>
          <w:sz w:val="22"/>
        </w:rPr>
        <w:t>Сквозной тест 24.04.2026, пункт 7 (исполнение Т в ФИН): 1 ч 20 мин на 30 000. Из них проведение перерегистраций 24 мин и бизнес-процесс сделок TN 54 мин. Запас к 2 часам - 33%.</w:t>
      </w:r>
    </w:p>
    <w:tbl>
      <w:tblPr>
        <w:tblW w:type="auto" w:w="0"/>
        <w:tblLook w:firstColumn="1" w:firstRow="1" w:lastColumn="0" w:lastRow="0" w:noHBand="0" w:noVBand="1" w:val="04A0"/>
        <w:tblW w:w="9780" w:type="dxa"/>
        <w:tblBorders>
          <w:top w:val="single" w:sz="8" w:space="0" w:color="1D4E89"/>
          <w:left w:val="single" w:sz="8" w:space="0" w:color="1D4E89"/>
          <w:bottom w:val="single" w:sz="8" w:space="0" w:color="1D4E89"/>
          <w:right w:val="single" w:sz="8" w:space="0" w:color="1D4E89"/>
          <w:insideH w:val="single" w:sz="8" w:space="0" w:color="1D4E89"/>
          <w:insideV w:val="single" w:sz="8" w:space="0" w:color="1D4E89"/>
        </w:tblBorders>
        <w:jc w:val="center"/>
      </w:tblPr>
      <w:tblGrid>
        <w:gridCol w:w="5043"/>
        <w:gridCol w:w="5043"/>
      </w:tblGrid>
      <w:tr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плана</w:t>
            </w:r>
          </w:p>
        </w:tc>
        <w:tc>
          <w:tcPr>
            <w:tcW w:type="dxa" w:w="4890"/>
            <w:shd w:val="clear" w:color="auto" w:fill="D6E3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D4E89"/>
                <w:sz w:val="22"/>
              </w:rPr>
              <w:t>Метрика факта</w:t>
            </w:r>
          </w:p>
        </w:tc>
      </w:tr>
      <w:tr>
        <w:tc>
          <w:tcPr>
            <w:tcW w:type="dxa" w:w="4890"/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не более 2 ч на 30 000 сделок Tn</w:t>
            </w:r>
          </w:p>
        </w:tc>
        <w:tc>
          <w:tcPr>
            <w:tcW w:type="dxa" w:w="4890"/>
            <w:shd w:val="clear" w:color="auto" w:fill="E5F4EA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2"/>
              </w:rPr>
              <w:t>1 ч 20 мин на 30 000 сделок Tn</w:t>
            </w:r>
          </w:p>
        </w:tc>
      </w:tr>
      <w:tr>
        <w:tc>
          <w:tcPr>
            <w:tcW w:type="dxa" w:w="4890"/>
            <w:gridSpan w:val="2"/>
            <w:shd w:val="clear" w:color="auto" w:fill="FFF8E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2"/>
              </w:rPr>
              <w:t>Превышение: запас к порогу 2 ч составляет 33%.</w:t>
            </w:r>
          </w:p>
        </w:tc>
      </w:tr>
    </w:tbl>
    <w:p>
      <w:r>
        <w:rPr>
          <w:rFonts w:ascii="Calibri" w:hAnsi="Calibri"/>
          <w:b w:val="0"/>
          <w:sz w:val="22"/>
        </w:rPr>
        <w:t>Связанные задачи:</w:t>
      </w:r>
    </w:p>
    <w:p>
      <w:pPr>
        <w:pStyle w:val="ListBullet"/>
      </w:pPr>
      <w:r>
        <w:rPr>
          <w:rFonts w:ascii="Calibri" w:hAnsi="Calibri"/>
          <w:sz w:val="22"/>
        </w:rPr>
        <w:t>IMDEV-8662. Оптимизация проведения перерегистраций. 24 мин при ориентире 30 мин на этом участке, 12 потоков.</w:t>
      </w:r>
    </w:p>
    <w:p>
      <w:pPr>
        <w:pStyle w:val="ListBullet"/>
      </w:pPr>
      <w:r>
        <w:rPr>
          <w:rFonts w:ascii="Calibri" w:hAnsi="Calibri"/>
          <w:sz w:val="22"/>
        </w:rPr>
        <w:t>IMAPPS-34664. Сквозной контур замера ДУ - ФИН.</w:t>
      </w:r>
    </w:p>
    <w:p>
      <w:pPr>
        <w:pStyle w:val="Heading2"/>
      </w:pPr>
      <w:r>
        <w:rPr>
          <w:rFonts w:ascii="Calibri" w:hAnsi="Calibri"/>
          <w:color w:val="1D4E89"/>
        </w:rPr>
        <w:t>2.7. Стабилизировать SLA по массовым операциям ДУ.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Порог: не менее 85% сценариев регулярных нагрузочных прогонов в целевом времени к Q4. Подметрика: не более 5% прогонов со статусом «не завершился тест». Вес 10%, без изменения.</w:t>
      </w:r>
    </w:p>
    <w:p>
      <w:r>
        <w:rPr>
          <w:rFonts w:ascii="Calibri" w:hAnsi="Calibri"/>
          <w:b w:val="0"/>
          <w:sz w:val="22"/>
        </w:rPr>
        <w:t>По выгрузке ключевых операций регулярные сценарии на текущем объеме укладываются в свои окна: загрузка и исполнение сделок, выписки, котировки, сверки, утренние и вечерние регламенты, начисление вознаграждения. Прогноз «6 операций из 23 не держат 250 тыс. договоров» к этой цели не относится: порог задан для регулярных прогонов, не для десятикратного роста базы. Точная доля «85%» отдельной выгрузкой не фиксировалась, поэтому отметка «выполнено», не «с превышением».</w:t>
      </w:r>
    </w:p>
    <w:p>
      <w:r>
        <w:rPr>
          <w:rFonts w:ascii="Calibri" w:hAnsi="Calibri"/>
          <w:b w:val="0"/>
          <w:sz w:val="22"/>
        </w:rPr>
        <w:t>Связанные задачи:</w:t>
      </w:r>
    </w:p>
    <w:p>
      <w:pPr>
        <w:pStyle w:val="ListBullet"/>
      </w:pPr>
      <w:r>
        <w:rPr>
          <w:rFonts w:ascii="Calibri" w:hAnsi="Calibri"/>
          <w:sz w:val="22"/>
        </w:rPr>
        <w:t>IMDEV-9391. Проверить ключевые операции на потребность в оптимизации.</w:t>
      </w:r>
    </w:p>
    <w:p>
      <w:pPr>
        <w:pStyle w:val="ListBullet"/>
      </w:pPr>
      <w:r>
        <w:rPr>
          <w:rFonts w:ascii="Calibri" w:hAnsi="Calibri"/>
          <w:sz w:val="22"/>
        </w:rPr>
        <w:t>IMDEV-9393. Создать общую таблицу текущей длительности ключевых операций и определить максимально возможное количество клиентов.</w:t>
      </w:r>
    </w:p>
    <w:p>
      <w:pPr>
        <w:pStyle w:val="ListBullet"/>
      </w:pPr>
      <w:r>
        <w:rPr>
          <w:rFonts w:ascii="Calibri" w:hAnsi="Calibri"/>
          <w:sz w:val="22"/>
        </w:rPr>
        <w:t>IMDEV-8979. Добавить в конфигурацию и во внешние обработки и отчеты вызов замеров производительности.</w:t>
      </w:r>
    </w:p>
    <w:p>
      <w:pPr>
        <w:pStyle w:val="Heading2"/>
      </w:pPr>
      <w:r>
        <w:rPr>
          <w:rFonts w:ascii="Calibri" w:hAnsi="Calibri"/>
          <w:color w:val="1D4E89"/>
        </w:rPr>
        <w:t>2.8. Универсальная программа конвертации XBRL Ортикон в Excel.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Срок цели: 31.08.2026. Порог: внешняя обработка выгружает все формы и таблицы пакета Ортикон в Excel полностью, за 30 минут, без сбоев. База: внешний конвертер на пакетах около 500 МБ работал медленно и частично.</w:t>
      </w:r>
    </w:p>
    <w:p>
      <w:r>
        <w:rPr>
          <w:rFonts w:ascii="Calibri" w:hAnsi="Calibri"/>
          <w:b w:val="0"/>
          <w:sz w:val="22"/>
        </w:rPr>
        <w:t>Обработка внВыгрузкаXBRLОртиконВXLSX версии 1.4.10 на квартальном пакете июня 2026 (до срока цели) собрала книгу из 78 листов: оглавление и 77 таблиц, в том числе 26 листов формы 0420431, одним запуском и без сбоя. Это закрывает требование полноты.</w:t>
      </w:r>
    </w:p>
    <w:p>
      <w:r>
        <w:rPr>
          <w:rFonts w:ascii="Calibri" w:hAnsi="Calibri"/>
          <w:b w:val="0"/>
          <w:sz w:val="22"/>
        </w:rPr>
        <w:t>Связанная задача: IMDEV-9182. Создать внешнюю обработку конвертации Ортикон XBRL в Excel (таксономия 7.1). Closed.</w:t>
      </w:r>
    </w:p>
    <w:p>
      <w:pPr>
        <w:pStyle w:val="Heading2"/>
      </w:pPr>
      <w:r>
        <w:rPr>
          <w:rFonts w:ascii="Calibri" w:hAnsi="Calibri"/>
          <w:color w:val="1D4E89"/>
        </w:rPr>
        <w:t>2.9. Вынести расчет РСА/СЧА из вечерних регламентов ДУ 1.5.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Порог: расчет РСА/СЧА вынесен из цикла вечернего пакета в отдельный блок, вечерний пакет без него закрывает окно T-1, регресс сумм регистра РегистрРСА_СЧА пройден. Способ расчета: один сводный запрос по договорам, затем цикл без повторных запросов к регистрам.</w:t>
      </w:r>
    </w:p>
    <w:p>
      <w:r>
        <w:rPr>
          <w:rFonts w:ascii="Calibri" w:hAnsi="Calibri"/>
          <w:b w:val="0"/>
          <w:sz w:val="22"/>
        </w:rPr>
        <w:t>Группа «3. Расчет СЧА/РСА» внесена в релиз ДУ 1.5.30.4. Регресс документов - без расхождений. Вечерний пакет розницы после этапа 3 - около 40 мин на около 23 тыс. договоров. Пакетный расчет операции 1000 проверен 09.09.2026: 121 мин 38 с стали 68 мин 45 с на 21 993 договорах.</w:t>
      </w:r>
    </w:p>
    <w:p>
      <w:r>
        <w:rPr>
          <w:rFonts w:ascii="Calibri" w:hAnsi="Calibri"/>
          <w:b w:val="0"/>
          <w:sz w:val="22"/>
        </w:rPr>
        <w:t>Связанная задача: IMDEV-8663. Оптимизация вечерних регламентов по РДУ (Этап 3), вынос и пакетный расчет РСА/СЧА.</w:t>
      </w:r>
    </w:p>
    <w:p>
      <w:pPr>
        <w:pStyle w:val="Heading2"/>
      </w:pPr>
      <w:r>
        <w:rPr>
          <w:rFonts w:ascii="Calibri" w:hAnsi="Calibri"/>
          <w:color w:val="1D4E89"/>
        </w:rPr>
        <w:t>2.10. Ускорить 10 ключевых обработок МО и ДУ 1.5. Вес 10%</w:t>
      </w:r>
    </w:p>
    <w:p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/>
          <w:sz w:val="22"/>
        </w:rPr>
        <w:t>ВЫПОЛНЕНО</w:t>
      </w:r>
    </w:p>
    <w:p>
      <w:r>
        <w:rPr>
          <w:rFonts w:ascii="Calibri" w:hAnsi="Calibri"/>
          <w:b w:val="0"/>
          <w:sz w:val="22"/>
        </w:rPr>
        <w:t>Срок цели: 31.10.2026. Порог шкалы: 100% - не менее 9 из 10 в целевом времени при пройденном регрессе; 80% - не менее 7 из 10. Загрузка сделок, исполнение Т-1, регламенты, XBRL и форма 0420431 в перечень не входят.</w:t>
      </w:r>
    </w:p>
    <w:p>
      <w:r>
        <w:rPr>
          <w:rFonts w:ascii="Calibri" w:hAnsi="Calibri"/>
          <w:b w:val="0"/>
          <w:sz w:val="22"/>
        </w:rPr>
        <w:t>Факт: ускорены все 10 обработок из перечня. Цель выполнена. По восьми есть контрольный замер в целевом времени. По расторжению договоров РДУ и сверке БО-МО отдельный замер к отчету не приложен, ускорение по ним тоже засчитано.</w:t>
      </w:r>
    </w:p>
    <w:p>
      <w:r>
        <w:rPr>
          <w:rFonts w:ascii="Calibri" w:hAnsi="Calibri"/>
          <w:b w:val="0"/>
          <w:sz w:val="22"/>
        </w:rPr>
        <w:t>Перечень:</w:t>
      </w:r>
    </w:p>
    <w:p>
      <w:pPr>
        <w:pStyle w:val="ListBullet"/>
      </w:pPr>
      <w:r>
        <w:rPr>
          <w:rFonts w:ascii="Calibri" w:hAnsi="Calibri"/>
          <w:sz w:val="22"/>
        </w:rPr>
        <w:t>Загрузка выписок, IMDEV-9096. «Прочитать» 617 с стали 237 с (3 мин 57 с) при пороге 4 мин. «Разобрать» на Т-1: 13 мин стали 7 мин при пороге 10 мин. Регресс платежных поручений пройден. Обычно.</w:t>
      </w:r>
    </w:p>
    <w:p>
      <w:pPr>
        <w:pStyle w:val="ListBullet"/>
      </w:pPr>
      <w:r>
        <w:rPr>
          <w:rFonts w:ascii="Calibri" w:hAnsi="Calibri"/>
          <w:sz w:val="22"/>
        </w:rPr>
        <w:t>Распределение доходов по ценным бумагам, IMDEV-9302. 16.09.2026: 1 ч 41 мин на 19 705 документов, 0 ошибок, при пороге 2 ч. Было около 7 ч 45 мин. Запас 16%. Обычно.</w:t>
      </w:r>
    </w:p>
    <w:p>
      <w:pPr>
        <w:pStyle w:val="ListBullet"/>
      </w:pPr>
      <w:r>
        <w:rPr>
          <w:rFonts w:ascii="Calibri" w:hAnsi="Calibri"/>
          <w:sz w:val="22"/>
        </w:rPr>
        <w:t>Пакетный отчет брокера, IMDEV-9095. ПРОД: медиана 2,7 мин, максимум 15 мин, старт 05:05, окно до сверки с брокером. Превышает ожидания.</w:t>
      </w:r>
    </w:p>
    <w:p>
      <w:pPr>
        <w:pStyle w:val="ListBullet"/>
      </w:pPr>
      <w:r>
        <w:rPr>
          <w:rFonts w:ascii="Calibri" w:hAnsi="Calibri"/>
          <w:sz w:val="22"/>
        </w:rPr>
        <w:t>Синхронизация НСИ, IMDEV-8927, перевод на биржу IMDEV-9101, загрузка договоров IMDEV-9105. ПРОД: загрузка договоров, медиана 1,5 мин, максимум 7,3 мин. Операционный день не держит. Обычно.</w:t>
      </w:r>
    </w:p>
    <w:p>
      <w:pPr>
        <w:pStyle w:val="ListBullet"/>
      </w:pPr>
      <w:r>
        <w:rPr>
          <w:rFonts w:ascii="Calibri" w:hAnsi="Calibri"/>
          <w:sz w:val="22"/>
        </w:rPr>
        <w:t>Загрузка котировок, оба сеанса, IMDEV-9314, замер IMDEV-9393. ПРОД: 3,2 и 2,7 мин при пороге 15 мин (максимум 5,0 и 3,3). Превышает ожидания.</w:t>
      </w:r>
    </w:p>
    <w:p>
      <w:pPr>
        <w:pStyle w:val="ListBullet"/>
      </w:pPr>
      <w:r>
        <w:rPr>
          <w:rFonts w:ascii="Calibri" w:hAnsi="Calibri"/>
          <w:sz w:val="22"/>
        </w:rPr>
        <w:t>Начисление вознаграждения РДУ, IMDEV-9153. 1 ч 04 мин 34 с на 20 467 договоров при пороге 1 ч 15 мин. Было 9 ч 52 мин на 14 221 договор. Запас 14%. Обычно.</w:t>
      </w:r>
    </w:p>
    <w:p>
      <w:pPr>
        <w:pStyle w:val="ListBullet"/>
      </w:pPr>
      <w:r>
        <w:rPr>
          <w:rFonts w:ascii="Calibri" w:hAnsi="Calibri"/>
          <w:sz w:val="22"/>
        </w:rPr>
        <w:t>Расчет MV и WAP, IMDEV-8665. Итоговый тест 20.05.2026, 5 потоков: около 4 ч стали 30 мин при пороге 40 мин, цены совпали с контролем. Запас 25%. Превышает ожидания.</w:t>
      </w:r>
    </w:p>
    <w:p>
      <w:pPr>
        <w:pStyle w:val="ListBullet"/>
      </w:pPr>
      <w:r>
        <w:rPr>
          <w:rFonts w:ascii="Calibri" w:hAnsi="Calibri"/>
          <w:sz w:val="22"/>
        </w:rPr>
        <w:t>Выгрузка остатков МО в ФО, IMDEV-8829 и IMDEV-9532. 01.10.2026, розница: 69 мин стали 20 мин на 23 077 портфелей, ошибок 0, без обрыва HTTP 413. Превышает ожидания.</w:t>
      </w:r>
    </w:p>
    <w:p>
      <w:pPr>
        <w:pStyle w:val="ListBullet"/>
      </w:pPr>
      <w:r>
        <w:rPr>
          <w:rFonts w:ascii="Calibri" w:hAnsi="Calibri"/>
          <w:sz w:val="22"/>
        </w:rPr>
        <w:t>Расторжение договоров РДУ, IMDEV-9104. Ускорение выполнено: узкие места P2 и P3 быстрее примерно в 20 раз на контрольной выборке, регресс полей и сумм на ней пройден. Полный прогон на 50 договорах к отчету не приложен. Обработка засчитана выполненной.</w:t>
      </w:r>
    </w:p>
    <w:p>
      <w:pPr>
        <w:pStyle w:val="ListBullet"/>
      </w:pPr>
      <w:r>
        <w:rPr>
          <w:rFonts w:ascii="Calibri" w:hAnsi="Calibri"/>
          <w:sz w:val="22"/>
        </w:rPr>
        <w:t>Сверка БО-МО, IMDEV-9192. Задача закрыта 24.08.2026, сверка ускорена. Отдельный хронометраж «было/стало» к отчету не приложен. Обработка засчитана выполненной.</w:t>
      </w:r>
    </w:p>
    <w:p>
      <w:pPr>
        <w:pStyle w:val="Heading1"/>
      </w:pPr>
      <w:r>
        <w:rPr>
          <w:rFonts w:ascii="Calibri" w:hAnsi="Calibri"/>
          <w:color w:val="1D4E89"/>
        </w:rPr>
        <w:t>3. Общая оценка эффективности</w:t>
      </w:r>
    </w:p>
    <w:p>
      <w:pPr>
        <w:pStyle w:val="Heading2"/>
      </w:pPr>
      <w:r>
        <w:rPr>
          <w:rFonts w:ascii="Calibri" w:hAnsi="Calibri"/>
          <w:color w:val="1D4E89"/>
        </w:rPr>
        <w:t>3.1. Ключевые достижения</w:t>
      </w:r>
    </w:p>
    <w:p>
      <w:pPr>
        <w:pStyle w:val="ListBullet"/>
      </w:pPr>
      <w:r>
        <w:rPr>
          <w:rFonts w:ascii="Calibri" w:hAnsi="Calibri"/>
          <w:sz w:val="22"/>
        </w:rPr>
        <w:t>Все 10 целей деятельности на дату отчета имеют положительный результат: порог взят либо взят с запасом.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 превышением закрыты три цели общим весом 30%: загрузка сделок (10%), регламенты ДУ (10%), исполнение в ФИН (10%).</w:t>
      </w:r>
    </w:p>
    <w:p>
      <w:pPr>
        <w:pStyle w:val="ListBullet"/>
      </w:pPr>
      <w:r>
        <w:rPr>
          <w:rFonts w:ascii="Calibri" w:hAnsi="Calibri"/>
          <w:sz w:val="22"/>
        </w:rPr>
        <w:t>Самая тяжелая цель по весу, исполнение Т-1 (20%), взята на контроле 100 000 сделок: 1 ч 47 мин при пороге 2 ч.</w:t>
      </w:r>
    </w:p>
    <w:p>
      <w:pPr>
        <w:pStyle w:val="ListBullet"/>
      </w:pPr>
      <w:r>
        <w:rPr>
          <w:rFonts w:ascii="Calibri" w:hAnsi="Calibri"/>
          <w:sz w:val="22"/>
        </w:rPr>
        <w:t>Цели безопасности (10% вместе) выполнены: инциденты, риски и критичные уязвимости закрыты с подтверждением командой IT Security.</w:t>
      </w:r>
    </w:p>
    <w:p>
      <w:pPr>
        <w:pStyle w:val="ListBullet"/>
      </w:pPr>
      <w:r>
        <w:rPr>
          <w:rFonts w:ascii="Calibri" w:hAnsi="Calibri"/>
          <w:sz w:val="22"/>
        </w:rPr>
        <w:t>Десять ключевых обработок ускорены все. Цель выполнена, в том числе по расторжению РДУ и сверке БО-МО, где отдельный замер не приложен.</w:t>
      </w:r>
    </w:p>
    <w:p>
      <w:pPr>
        <w:pStyle w:val="ListBullet"/>
      </w:pPr>
      <w:r>
        <w:rPr>
          <w:rFonts w:ascii="Calibri" w:hAnsi="Calibri"/>
          <w:sz w:val="22"/>
        </w:rPr>
        <w:t>Цель по Cursor закрыта практическими кейсами на тех же контурах, что и цели деятельности.</w:t>
      </w:r>
    </w:p>
    <w:p>
      <w:pPr>
        <w:pStyle w:val="Heading2"/>
      </w:pPr>
      <w:r>
        <w:rPr>
          <w:rFonts w:ascii="Calibri" w:hAnsi="Calibri"/>
          <w:color w:val="1D4E89"/>
        </w:rPr>
        <w:t>3.2. Вклад в работу розницы ДУ</w:t>
      </w:r>
    </w:p>
    <w:p>
      <w:pPr>
        <w:pStyle w:val="ListBullet"/>
      </w:pPr>
      <w:r>
        <w:rPr>
          <w:rFonts w:ascii="Calibri" w:hAnsi="Calibri"/>
          <w:sz w:val="22"/>
        </w:rPr>
        <w:t>Ночные и утренние окна. Вечерние регламенты розницы около 40 мин на около 23 тыс. договоров вместо многочасового прогона. Обычные договоры около 20 мин на около 3,5 тыс.</w:t>
      </w:r>
    </w:p>
    <w:p>
      <w:pPr>
        <w:pStyle w:val="ListBullet"/>
      </w:pPr>
      <w:r>
        <w:rPr>
          <w:rFonts w:ascii="Calibri" w:hAnsi="Calibri"/>
          <w:sz w:val="22"/>
        </w:rPr>
        <w:t>Сделки. Загрузка и исполнение Т-1 и исполнение в ФИН уложены в часовые пороги, загрузка - с большим запасом на объеме 100 000.</w:t>
      </w:r>
    </w:p>
    <w:p>
      <w:pPr>
        <w:pStyle w:val="ListBullet"/>
      </w:pPr>
      <w:r>
        <w:rPr>
          <w:rFonts w:ascii="Calibri" w:hAnsi="Calibri"/>
          <w:sz w:val="22"/>
        </w:rPr>
        <w:t>Отчетность. Пакет XBRL Ортикон выгружается в Excel целиком, расчет РСА/СЧА вынесен из вечернего цикла, регресс сумм пройден.</w:t>
      </w:r>
    </w:p>
    <w:p>
      <w:pPr>
        <w:pStyle w:val="ListBullet"/>
      </w:pPr>
      <w:r>
        <w:rPr>
          <w:rFonts w:ascii="Calibri" w:hAnsi="Calibri"/>
          <w:sz w:val="22"/>
        </w:rPr>
        <w:t>Учет времени. По ключевым операциям есть единая таблица длительности и встроенные замеры.</w:t>
      </w:r>
    </w:p>
    <w:p>
      <w:pPr>
        <w:pStyle w:val="Heading1"/>
      </w:pPr>
      <w:r>
        <w:rPr>
          <w:rFonts w:ascii="Calibri" w:hAnsi="Calibri"/>
          <w:color w:val="1D4E89"/>
        </w:rPr>
        <w:t>4. Заключение</w:t>
      </w:r>
    </w:p>
    <w:p>
      <w:r>
        <w:rPr>
          <w:rFonts w:ascii="Calibri" w:hAnsi="Calibri"/>
          <w:b w:val="0"/>
          <w:sz w:val="22"/>
        </w:rPr>
        <w:t>Безусловные цели деятельности 2026 года на 18.10.2026 выполнены. Три цели общим весом 30% закрыты с превышением порога. Цель исполнения Т-1, вес 20%, закрыта на контрольном объеме 100 000 сделок. Цели безопасности закрыты в норме 100% их шкалы. Цель по десяти обработкам выполнена: ускорены все 10.</w:t>
      </w:r>
    </w:p>
    <w:p>
      <w:r>
        <w:rPr>
          <w:rFonts w:ascii="Calibri" w:hAnsi="Calibri"/>
          <w:b w:val="0"/>
          <w:sz w:val="22"/>
        </w:rPr>
        <w:t>Общая оценка выполнения целей деятельности: порог достигнут по всем десяти целям.</w:t>
      </w:r>
    </w:p>
    <w:p>
      <w:r>
        <w:rPr>
          <w:rFonts w:ascii="Calibri" w:hAnsi="Calibri"/>
          <w:i/>
          <w:sz w:val="20"/>
        </w:rPr>
        <w:t>Дата составления отчета: 18.10.2026. Подготовил: Чмыхалов Алексей Анатольевич.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