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 w:line="240" w:lineRule="auto"/>
      </w:pPr>
      <w:r>
        <w:t>Тестирование замеров внешних обработок лимитов и поручений (IMDEV-9530, этап 4)</w:t>
      </w:r>
    </w:p>
    <w:p>
      <w:pPr>
        <w:pStyle w:val="Heading2"/>
        <w:spacing w:before="240" w:after="80" w:line="240" w:lineRule="auto"/>
      </w:pPr>
      <w:r>
        <w:t>Обработки, в которые добавлены замеры</w:t>
      </w:r>
    </w:p>
    <w:tbl>
      <w:tblPr>
        <w:tblStyle w:val="TableGrid"/>
        <w:tblW w:type="dxa" w:w="15420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920"/>
        <w:gridCol w:w="2372"/>
        <w:gridCol w:w="1356"/>
        <w:gridCol w:w="2372"/>
        <w:gridCol w:w="3728"/>
        <w:gridCol w:w="3672"/>
      </w:tblGrid>
      <w:tr>
        <w:trPr>
          <w:cantSplit/>
          <w:tblHeader/>
        </w:trPr>
        <w:tc>
          <w:tcPr>
            <w:tcW w:w="1920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Внешняя обработка</w:t>
            </w:r>
          </w:p>
        </w:tc>
        <w:tc>
          <w:tcPr>
            <w:tcW w:w="2372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Файл</w:t>
            </w:r>
          </w:p>
        </w:tc>
        <w:tc>
          <w:tcPr>
            <w:tcW w:w="1356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Версия: оригинал -&gt; с замерами</w:t>
            </w:r>
          </w:p>
        </w:tc>
        <w:tc>
          <w:tcPr>
            <w:tcW w:w="2372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Строка списка ключевых операций</w:t>
            </w:r>
          </w:p>
        </w:tc>
        <w:tc>
          <w:tcPr>
            <w:tcW w:w="3728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Ключи замеров (общая запись и шаги)</w:t>
            </w:r>
          </w:p>
        </w:tc>
        <w:tc>
          <w:tcPr>
            <w:tcW w:w="3672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Точки входа с замером</w:t>
            </w:r>
          </w:p>
        </w:tc>
      </w:tr>
      <w:tr>
        <w:trPr>
          <w:cantSplit/>
        </w:trPr>
        <w:tc>
          <w:tcPr>
            <w:tcW w:w="192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Создание торговых поручений РОСТ</w:t>
            </w:r>
          </w:p>
        </w:tc>
        <w:tc>
          <w:tcPr>
            <w:tcW w:w="237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внСозданиеТорговыхПорученийРОСТ.epf</w:t>
            </w:r>
          </w:p>
        </w:tc>
        <w:tc>
          <w:tcPr>
            <w:tcW w:w="1356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1.15 -&gt; 1.16</w:t>
            </w:r>
          </w:p>
        </w:tc>
        <w:tc>
          <w:tcPr>
            <w:tcW w:w="237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5</w:t>
            </w:r>
          </w:p>
        </w:tc>
        <w:tc>
          <w:tcPr>
            <w:tcW w:w="372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Длительная операция БСП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СозданиеТорговыхПорученийРОСТ.Покупка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.Продажа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.Реинвестирование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.ПродажаПодБлокировки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.ОтправкаПачки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; шаги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ОтборПортфелей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РасчетПотоковОФЗ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ЗаписьПоручения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ЦенаИзСтакана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ЦенаЗакрытия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ПроведениеСЦеной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ПроведениеСуммы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РасчетКоличестваОФЗ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ПроведениеКоличества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СтатусПортфеля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ПроверкаИОтправка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Рассылка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 /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Завершение</w:t>
            </w:r>
          </w:p>
        </w:tc>
        <w:tc>
          <w:tcPr>
            <w:tcW w:w="367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Команды регламентного задания покупки и продажи; вызовы формы: покупка, продажа, реинвестирование без потоков, отправка пачки; фоновые потоки формы реинвестирования и продаж под блокировки (в форме - размер пакета для потоков)</w:t>
            </w:r>
          </w:p>
        </w:tc>
      </w:tr>
      <w:tr>
        <w:trPr>
          <w:cantSplit/>
        </w:trPr>
        <w:tc>
          <w:tcPr>
            <w:tcW w:w="192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Распространение правил с одного клиента на список клиентов</w:t>
            </w:r>
          </w:p>
        </w:tc>
        <w:tc>
          <w:tcPr>
            <w:tcW w:w="2372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внРаспространениеПравилСОдногоКлиентаНаСписокКлиентов.epf</w:t>
            </w:r>
          </w:p>
        </w:tc>
        <w:tc>
          <w:tcPr>
            <w:tcW w:w="1356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1.15 -&gt; 1.16</w:t>
            </w:r>
          </w:p>
        </w:tc>
        <w:tc>
          <w:tcPr>
            <w:tcW w:w="2372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3</w:t>
            </w:r>
          </w:p>
        </w:tc>
        <w:tc>
          <w:tcPr>
            <w:tcW w:w="372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РаспространениеПравилЛимитов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; шаги по каждому классу лимитов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.ПоискНовыхКлиентов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.СозданиеУстановок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.Рассылка</w:t>
            </w:r>
          </w:p>
        </w:tc>
        <w:tc>
          <w:tcPr>
            <w:tcW w:w="3672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ВыполнитьРаспространениеПравилПослеОбмена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 (вызывается обработкой «Операции после обмена»)</w:t>
            </w:r>
          </w:p>
        </w:tc>
      </w:tr>
      <w:tr>
        <w:trPr>
          <w:cantSplit/>
        </w:trPr>
        <w:tc>
          <w:tcPr>
            <w:tcW w:w="192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Загрузка неторговых поручений РОСТ</w:t>
            </w:r>
          </w:p>
        </w:tc>
        <w:tc>
          <w:tcPr>
            <w:tcW w:w="237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внЗагрузкаНеторговыхПорученийРОСТ.epf</w:t>
            </w:r>
          </w:p>
        </w:tc>
        <w:tc>
          <w:tcPr>
            <w:tcW w:w="1356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1.06 -&gt; 1.07</w:t>
            </w:r>
          </w:p>
        </w:tc>
        <w:tc>
          <w:tcPr>
            <w:tcW w:w="237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13</w:t>
            </w:r>
          </w:p>
        </w:tc>
        <w:tc>
          <w:tcPr>
            <w:tcW w:w="372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ЗагрузкаНеторговыхПорученийРОСТ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 (с признаком ошибки); шаги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.СозданиеПоручений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.Рассылка</w:t>
            </w:r>
          </w:p>
        </w:tc>
        <w:tc>
          <w:tcPr>
            <w:tcW w:w="367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Команда регламентного задания (</w:t>
            </w:r>
            <w:r>
              <w:rPr>
                <w:rFonts w:ascii="Consolas" w:hAnsi="Consolas" w:cs="Consolas"/>
                <w:b w:val="0"/>
                <w:i w:val="0"/>
                <w:color w:val="1D3557"/>
                <w:sz w:val="19"/>
              </w:rPr>
              <w:t>ВыполнитьКоманду</w:t>
            </w: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)</w:t>
            </w:r>
          </w:p>
        </w:tc>
      </w:tr>
    </w:tbl>
    <w:p>
      <w:pPr>
        <w:spacing w:after="80"/>
      </w:pPr>
    </w:p>
    <w:p>
      <w:pPr>
        <w:spacing w:before="40" w:after="160" w:line="252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 xml:space="preserve">Каждая вставка замера помечена комментарием, который начинается с </w:t>
      </w:r>
      <w:r>
        <w:rPr>
          <w:rFonts w:ascii="Consolas" w:hAnsi="Consolas" w:cs="Consolas"/>
          <w:b w:val="0"/>
          <w:i w:val="0"/>
          <w:color w:val="1D3557"/>
          <w:sz w:val="21"/>
        </w:rPr>
        <w:t>IMDEV-9530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; строки оригинала не менялись. Разработческая база ФО (WIN_FO_server), серия тестовых данных S3. Обработки сравнивались в двух версиях на одинаковых наборах данных: оригинал и версия с замерами. Обе версии регистрировались в один элемент справочника дополнительных обработок; у каждой версии свои тестовые портфели и свое свойство статуса, поэтому прогоны версий не видят данных друг друга. Точки входа вызывались так же, как в работе: процедуры команд регламентного задания, серверные вызовы кнопок формы, процедуры фоновых потоков формы (фоновыми заданиями, по одному на поток), вызов распространения правил из обработки «Операции после обмена», команда через </w:t>
      </w:r>
      <w:r>
        <w:rPr>
          <w:rFonts w:ascii="Consolas" w:hAnsi="Consolas" w:cs="Consolas"/>
          <w:b w:val="0"/>
          <w:i w:val="0"/>
          <w:color w:val="1D3557"/>
          <w:sz w:val="21"/>
        </w:rPr>
        <w:t>ДополнительныеОтчетыИОбработки.ВыполнитьКоманду</w:t>
      </w:r>
      <w:r>
        <w:rPr>
          <w:rFonts w:ascii="Calibri" w:hAnsi="Calibri" w:cs="Calibri"/>
          <w:b w:val="0"/>
          <w:i w:val="0"/>
          <w:color w:val="18212D"/>
          <w:sz w:val="22"/>
        </w:rPr>
        <w:t>. Кнопка формы торговых поручений дополнительно нажата в веб-клиенте.</w:t>
      </w:r>
    </w:p>
    <w:p>
      <w:pPr>
        <w:spacing w:before="80" w:after="160" w:line="246" w:lineRule="auto"/>
        <w:pBdr>
          <w:left w:val="single" w:sz="18" w:space="8" w:color="1F9D55"/>
        </w:pBdr>
        <w:shd w:val="clear" w:color="auto" w:fill="E9F7EF"/>
      </w:pPr>
      <w:r>
        <w:rPr>
          <w:rFonts w:ascii="Calibri" w:hAnsi="Calibri" w:cs="Calibri"/>
          <w:b/>
          <w:i w:val="0"/>
          <w:color w:val="1F9D55"/>
          <w:sz w:val="22"/>
        </w:rPr>
        <w:t>Все проверки пройдены: покрытие 91/91, записей во время прогонов оригинала 0, результат операций оригинала и версии с замерами совпадает; при выключенных замерах записей нет, результат как у оригинала</w:t>
      </w:r>
    </w:p>
    <w:tbl>
      <w:tblPr>
        <w:tblStyle w:val="TableGrid"/>
        <w:tblW w:type="dxa" w:w="15420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140"/>
        <w:gridCol w:w="5140"/>
        <w:gridCol w:w="5140"/>
      </w:tblGrid>
      <w:tr>
        <w:trPr>
          <w:cantSplit/>
          <w:cantSplit/>
          <w:cantSplit/>
        </w:trPr>
        <w:tc>
          <w:tcPr>
            <w:tcW w:w="5140" w:type="dxa"/>
            <w:shd w:val="clear" w:color="auto" w:fill="F7F9FC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  <w:vAlign w:val="center"/>
          </w:tcPr>
          <w:p>
            <w:pPr>
              <w:spacing w:before="40" w:after="0" w:line="23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2A6FDB"/>
                <w:sz w:val="40"/>
              </w:rPr>
              <w:t>183</w:t>
            </w:r>
          </w:p>
          <w:p>
            <w:pPr>
              <w:spacing w:before="0" w:after="40" w:line="22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8"/>
              </w:rPr>
              <w:t>записей регистра «Замеры времени» за прогон серии</w:t>
            </w:r>
          </w:p>
        </w:tc>
        <w:tc>
          <w:tcPr>
            <w:tcW w:w="5140" w:type="dxa"/>
            <w:shd w:val="clear" w:color="auto" w:fill="F7F9FC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  <w:vAlign w:val="center"/>
          </w:tcPr>
          <w:p>
            <w:pPr>
              <w:spacing w:before="40" w:after="0" w:line="23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2A6FDB"/>
                <w:sz w:val="40"/>
              </w:rPr>
              <w:t>51</w:t>
            </w:r>
          </w:p>
          <w:p>
            <w:pPr>
              <w:spacing w:before="0" w:after="40" w:line="22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8"/>
              </w:rPr>
              <w:t>ключей операций и шагов</w:t>
            </w:r>
          </w:p>
        </w:tc>
        <w:tc>
          <w:tcPr>
            <w:tcW w:w="5140" w:type="dxa"/>
            <w:shd w:val="clear" w:color="auto" w:fill="F7F9FC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  <w:vAlign w:val="center"/>
          </w:tcPr>
          <w:p>
            <w:pPr>
              <w:spacing w:before="40" w:after="0" w:line="23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2A6FDB"/>
                <w:sz w:val="40"/>
              </w:rPr>
              <w:t>13</w:t>
            </w:r>
          </w:p>
          <w:p>
            <w:pPr>
              <w:spacing w:before="0" w:after="40" w:line="22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8"/>
              </w:rPr>
              <w:t>сценариев версии с замерами</w:t>
            </w:r>
          </w:p>
        </w:tc>
      </w:tr>
      <w:tr>
        <w:trPr>
          <w:cantSplit/>
          <w:cantSplit/>
          <w:cantSplit/>
        </w:trPr>
        <w:tc>
          <w:tcPr>
            <w:tcW w:w="5140" w:type="dxa"/>
            <w:shd w:val="clear" w:color="auto" w:fill="F7F9FC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  <w:vAlign w:val="center"/>
          </w:tcPr>
          <w:p>
            <w:pPr>
              <w:spacing w:before="40" w:after="0" w:line="23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2A6FDB"/>
                <w:sz w:val="40"/>
              </w:rPr>
              <w:t>0</w:t>
            </w:r>
          </w:p>
          <w:p>
            <w:pPr>
              <w:spacing w:before="0" w:after="40" w:line="22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8"/>
              </w:rPr>
              <w:t>записей при прогонах оригинала (ожидается 0)</w:t>
            </w:r>
          </w:p>
        </w:tc>
        <w:tc>
          <w:tcPr>
            <w:tcW w:w="5140" w:type="dxa"/>
            <w:shd w:val="clear" w:color="auto" w:fill="F7F9FC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  <w:vAlign w:val="center"/>
          </w:tcPr>
          <w:p>
            <w:pPr>
              <w:spacing w:before="40" w:after="0" w:line="23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2A6FDB"/>
                <w:sz w:val="40"/>
              </w:rPr>
              <w:t>42</w:t>
            </w:r>
          </w:p>
          <w:p>
            <w:pPr>
              <w:spacing w:before="0" w:after="40" w:line="22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8"/>
              </w:rPr>
              <w:t>поручений создано обработками в каждой версии (42 в оригинале), совпали</w:t>
            </w:r>
          </w:p>
        </w:tc>
        <w:tc>
          <w:tcPr>
            <w:tcW w:w="5140" w:type="dxa"/>
            <w:shd w:val="clear" w:color="auto" w:fill="F7F9FC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  <w:vAlign w:val="center"/>
          </w:tcPr>
          <w:p>
            <w:pPr>
              <w:spacing w:before="40" w:after="0" w:line="23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2A6FDB"/>
                <w:sz w:val="40"/>
              </w:rPr>
              <w:t>8</w:t>
            </w:r>
          </w:p>
          <w:p>
            <w:pPr>
              <w:spacing w:before="0" w:after="40" w:line="22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8"/>
              </w:rPr>
              <w:t>установок лимитов новых клиентов, совпали</w:t>
            </w:r>
          </w:p>
        </w:tc>
      </w:tr>
    </w:tbl>
    <w:p>
      <w:pPr>
        <w:spacing w:before="40" w:after="40" w:line="200" w:lineRule="auto"/>
      </w:pPr>
    </w:p>
    <w:p>
      <w:pPr>
        <w:pStyle w:val="Heading2"/>
        <w:spacing w:before="240" w:after="80" w:line="240" w:lineRule="auto"/>
      </w:pPr>
      <w:r>
        <w:t>Сверка покрытия: ожидаемые записи по каждому сценарию</w:t>
      </w:r>
    </w:p>
    <w:p>
      <w:pPr>
        <w:spacing w:before="40" w:after="160" w:line="252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 xml:space="preserve">Для каждого сценария версии с замерами заранее рассчитаны ожидаемые ключи, веса и комментарии (портфели, поручения, проведения - по составу тестовых данных). Записи отнесены к сценарию по дате начала замера. Вес общей записи длительной операции БСП - сумма весов шагов, время шага - среднее на единицу веса, запись </w:t>
      </w:r>
      <w:r>
        <w:rPr>
          <w:rFonts w:ascii="Consolas" w:hAnsi="Consolas" w:cs="Consolas"/>
          <w:b w:val="0"/>
          <w:i w:val="0"/>
          <w:color w:val="1D3557"/>
          <w:sz w:val="21"/>
        </w:rPr>
        <w:t>.Удельный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- сумма времени шагов на единицу.</w:t>
      </w:r>
    </w:p>
    <w:tbl>
      <w:tblPr>
        <w:tblStyle w:val="TableGrid"/>
        <w:tblW w:type="dxa" w:w="15421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64"/>
        <w:gridCol w:w="1695"/>
        <w:gridCol w:w="1977"/>
        <w:gridCol w:w="4801"/>
        <w:gridCol w:w="2937"/>
        <w:gridCol w:w="1243"/>
        <w:gridCol w:w="904"/>
      </w:tblGrid>
      <w:tr>
        <w:trPr>
          <w:cantSplit/>
          <w:tblHeader/>
        </w:trPr>
        <w:tc>
          <w:tcPr>
            <w:tcW w:w="1864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Сценарий</w:t>
            </w:r>
          </w:p>
        </w:tc>
        <w:tc>
          <w:tcPr>
            <w:tcW w:w="1695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Обработка</w:t>
            </w:r>
          </w:p>
        </w:tc>
        <w:tc>
          <w:tcPr>
            <w:tcW w:w="1977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Точка входа</w:t>
            </w:r>
          </w:p>
        </w:tc>
        <w:tc>
          <w:tcPr>
            <w:tcW w:w="4801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Ключ</w:t>
            </w:r>
          </w:p>
        </w:tc>
        <w:tc>
          <w:tcPr>
            <w:tcW w:w="2937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Ожидалось</w:t>
            </w:r>
          </w:p>
        </w:tc>
        <w:tc>
          <w:tcPr>
            <w:tcW w:w="1243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Факт</w:t>
            </w:r>
          </w:p>
        </w:tc>
        <w:tc>
          <w:tcPr>
            <w:tcW w:w="904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Совпало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Команда регламентного задания «Покупка» (ВыполнитьКоманду), тестовый режим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26; «Запуск: регламентное задание; Портфелей: 3; Поручений: 3; Проведений: 9»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26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РОСТ.Покупка.ОтборПортфелей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РОСТ.Покупка.РасчетПотоковОФЗ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РОСТ.Покупка.ЗаписьПоручения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РОСТ.Покупка.ЦенаИзСтакана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РОСТ.Покупка.ПроведениеСЦеной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РОСТ.Покупка.РасчетКоличестваОФЗ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РОСТ.Покупка.ПроведениеКоличества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РОСТ.Покупка.СтатусПортфеля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РОСТ.Покупка.ПроверкаИОтправка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РОСТ.Покупка.Рассылка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РОСТ.Покупка.Удельный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26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26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Кнопки формы «Обновить список» и «Создать и отправить поручения»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56; «Запуск: форма; Портфелей: 6; Поручений: 9; Проведений: 27»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56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РОСТ.Покупка.РасчетПотоковОФЗ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РОСТ.Покупка.ЗаписьПоручения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9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9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РОСТ.Покупка.ЦенаИзСтакана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9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9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РОСТ.Покупка.ПроведениеСЦеной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9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9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РОСТ.Покупка.ПроведениеСуммы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РОСТ.Покупка.РасчетКоличестваОФЗ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РОСТ.Покупка.ПроведениеКоличества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РОСТ.Покупка.СтатусПортфеля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РОСТ.Покупка.ПроверкаИОтправка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9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9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РОСТ.Покупка.Завершение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РОСТ.Покупка.Удельный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56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56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Команда регламентного задания «Продажа»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34; «Запуск: регламентное задание; Портфелей: 3; Поручений: 6; Проведений: 12»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34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РОСТ.Продажа.ОтборПортфелей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РОСТ.Продажа.ЗаписьПоручения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РОСТ.Продажа.ЦенаИзСтакана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РОСТ.Продажа.ПроведениеСЦеной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РОСТ.Продажа.СтатусПортфеля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РОСТ.Продажа.ПроверкаИОтправка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РОСТ.Продажа.Рассылка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Продажа.Команда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РОСТ.Продажа.Удельный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34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34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Кнопки формы «Получить список» и «Создать поручения продажа»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28; «Запуск: форма; Портфелей: 3; Поручений: 6; Проведений: 12»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28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РОСТ.Продажа.ЗаписьПоручения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РОСТ.Продажа.ЦенаИзСтакана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РОСТ.Продажа.ПроведениеСЦеной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РОСТ.Продажа.СтатусПортфеля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РОСТ.Продажа.ПроверкаИОтправка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РОСТ.Продажа.Завершение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Продажа.Форма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РОСТ.Продажа.Удельный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28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28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Реинвест.Форма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Кнопка формы «Создать и отправить ордера» (реинвестирование без потоков)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-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записей нет: точка входа завершается ошибкой оригинала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 зап.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Кнопка формы «Создать поручения в потоке» и отправка пачки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6; «Портфелей в пакете: 6; Портфелей: 1; Поручений: 1; Проведений: 3»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РОСТ.Реинвестирование.ПроведениеСЦеной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РОСТ.Реинвестирование.ПроведениеСуммы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РОСТ.Реинвестирование.СтатусПортфеля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7; «Запуск: форма; Портфелей: 6; Поручений: 6; Проведений: 0»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7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РОСТ.ОтправкаПачки.ПроверкаИОтправка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РОСТ.ОтправкаПачки.Завершение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РОСТ.ОтправкаПачки.Удельный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7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7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Продажи под блокировки: потоки формы и отправка пачки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6; «Портфелей в пакете: 6; Портфелей: 1; Поручений: 1; Проведений: 3»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РОСТ.ПродажаПодБлокировки.ЗаписьПоручения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РОСТ.ПродажаПодБлокировки.ЦенаИзСтакана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РОСТ.ПродажаПодБлокировки.ПроведениеСЦеной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РОСТ.ПродажаПодБлокировки.ПроведениеСуммы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РОСТ.ПродажаПодБлокировки.СтатусПортфеля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РОСТ.ПродажаПодБлокировки.Завершение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РОСТ.ПродажаПодБлокировки.Удельный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7; «Запуск: форма; Портфелей: 6; Поручений: 6; Проведений: 0»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7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РОСТ.ОтправкаПачки.ПроверкаИОтправка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6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РОСТ.ОтправкаПачки.Завершение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Блокировки.Потоки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РОСТ.ОтправкаПачки.Удельный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7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7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Команда через БСП ДополнительныеОтчетыИОбработки.ВыполнитьКоманду (путь регламентного задания, тестовый режим выключен)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зап.; «Запуск: регламентное задание; Портфелей: 5; Поручений: 0; Проведений: 2»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14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РОСТ.Покупка.ОтборПортфелей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5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5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РОСТ.Покупка.РасчетПотоковОФЗ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РОСТ.Покупка.ЗаписьПоручения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2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2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РОСТ.Покупка.ЦенаИзСтакана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2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2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РОСТ.Покупка.РасчетКоличестваОФЗ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2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2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РОСТ.Покупка.ПроверкаИОтправка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РОСТ.Покупка.Рассылка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Покупка.БСП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РОСТ.Покупка.Удельный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14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Распространение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Распространение правил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ВыполнитьРаспространениеПравилПослеОбмена, как из «Операций после обмена»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7; «Классов: 2; Новых клиентов: 12; Распространено: 7; Без автоустановки: 4; Запись версий лимитов в фоне: 7»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7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Распространение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РаспространениеПравилЛимитов.ПоискНовыхКлиентов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 зап., вес 6; «Новых клиентов: 6»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 зап.: вес 6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Распространение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РаспространениеПравилЛимитов.СозданиеУстановок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 зап.; «Новых клиентов: 6»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 зап.: вес 3; вес 4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Распространение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РаспространениеПравилЛимитов.Рассылка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 зап., вес 1; «Класс: 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Неторговые.Успех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 РОСТ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Команда регламентного задания, сервис 1С:ДО отвечает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3; «Поручений создано: 3»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Неторговые.Успех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ЗагрузкаНеторговыхПорученийРОСТ.СозданиеПоручений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3; «Поручений создано: 3»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3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Неторговые.Успех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ЗагрузкаНеторговыхПорученийРОСТ.Рассылка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Неторговые.ОтказВызова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Команда регламентного задания, вызов сервиса возвращает ошибку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1, ошибка; «Поручений создано: 0»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1, ошибка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Неторговые.СервисНедоступен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 РОСТ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Команда регламентного задания, сервис недоступен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1, ошибка; «Поручений создано: 0»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1, ошибка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Неторговые.СервисНедоступен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ЗагрузкаНеторговыхПорученийРОСТ.СозданиеПоручений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1; «Поручений создано: 0»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Неторговые.СервисНедоступен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ЗагрузкаНеторговыхПорученийРОСТ.Рассылка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Реинвест.ВебКлиент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Торговые поручения РОСТ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Веб-клиент: форма обработки, «Создать поручения в потоке»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зап., вес 3; «Портфелей в пакете: 3; Портфелей: 1; Поручений: 0; Проведений: 1»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зап.: вес 3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Реинвест.ВебКлиент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Реинвест.ВебКлиент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зап., вес 1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зап.: вес 1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Реинвест.ВебКлиент</w:t>
            </w:r>
          </w:p>
        </w:tc>
        <w:tc>
          <w:tcPr>
            <w:tcW w:w="169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293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зап., вес 1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зап.: вес 1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w="1864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5D6B7C"/>
                <w:sz w:val="16"/>
              </w:rPr>
              <w:t>Реинвест.ВебКлиент</w:t>
            </w:r>
          </w:p>
        </w:tc>
        <w:tc>
          <w:tcPr>
            <w:tcW w:w="169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293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зап., вес 3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 зап.: вес 3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16"/>
              </w:rPr>
              <w:t>да</w:t>
            </w:r>
          </w:p>
        </w:tc>
      </w:tr>
    </w:tbl>
    <w:p>
      <w:pPr>
        <w:spacing w:after="80"/>
      </w:pPr>
    </w:p>
    <w:p>
      <w:pPr>
        <w:pStyle w:val="Heading2"/>
        <w:spacing w:before="240" w:after="80" w:line="240" w:lineRule="auto"/>
      </w:pPr>
      <w:r>
        <w:t>Результат операций: оригинал и версия с замерами</w:t>
      </w:r>
    </w:p>
    <w:p>
      <w:pPr>
        <w:spacing w:before="40" w:after="160" w:line="252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Сравнение по портфелям с одинаковыми номерами в наборах версий. Даты документов и время статусов не сравниваются.</w:t>
      </w:r>
    </w:p>
    <w:tbl>
      <w:tblPr>
        <w:tblStyle w:val="TableGrid"/>
        <w:tblW w:type="dxa" w:w="15421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4745"/>
        <w:gridCol w:w="3502"/>
        <w:gridCol w:w="1469"/>
        <w:gridCol w:w="5705"/>
      </w:tblGrid>
      <w:tr>
        <w:trPr>
          <w:cantSplit/>
          <w:tblHeader/>
        </w:trPr>
        <w:tc>
          <w:tcPr>
            <w:tcW w:w="4745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Что сравнивалось</w:t>
            </w:r>
          </w:p>
        </w:tc>
        <w:tc>
          <w:tcPr>
            <w:tcW w:w="3502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Объем</w:t>
            </w:r>
          </w:p>
        </w:tc>
        <w:tc>
          <w:tcPr>
            <w:tcW w:w="1469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Итог</w:t>
            </w:r>
          </w:p>
        </w:tc>
        <w:tc>
          <w:tcPr>
            <w:tcW w:w="5705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Подробно</w:t>
            </w:r>
          </w:p>
        </w:tc>
      </w:tr>
      <w:tr>
        <w:trPr>
          <w:cantSplit/>
        </w:trPr>
        <w:tc>
          <w:tcPr>
            <w:tcW w:w="4745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Поручения (торговые и неторговые) по портфелям, без портфелей проверки веб-клиента</w:t>
            </w:r>
          </w:p>
        </w:tc>
        <w:tc>
          <w:tcPr>
            <w:tcW w:w="350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оригинал 56, с замерами 56; портфелей 32</w:t>
            </w:r>
          </w:p>
        </w:tc>
        <w:tc>
          <w:tcPr>
            <w:tcW w:w="1469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20"/>
              </w:rPr>
              <w:t>совпадает</w:t>
            </w: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актив, количество, цена, сумма, проведение, пометка удаления, статус блоттера совпадают</w:t>
            </w:r>
          </w:p>
        </w:tc>
      </w:tr>
      <w:tr>
        <w:trPr>
          <w:cantSplit/>
        </w:trPr>
        <w:tc>
          <w:tcPr>
            <w:tcW w:w="4745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Статусы портфелей обработки торговых поручений</w:t>
            </w:r>
          </w:p>
        </w:tc>
        <w:tc>
          <w:tcPr>
            <w:tcW w:w="3502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портфелей со статусом: 29 и 29</w:t>
            </w:r>
          </w:p>
        </w:tc>
        <w:tc>
          <w:tcPr>
            <w:tcW w:w="1469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20"/>
              </w:rPr>
              <w:t>совпадает</w:t>
            </w: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совпадают</w:t>
            </w:r>
          </w:p>
        </w:tc>
      </w:tr>
      <w:tr>
        <w:trPr>
          <w:cantSplit/>
        </w:trPr>
        <w:tc>
          <w:tcPr>
            <w:tcW w:w="4745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Установки лимитов новых клиентов (класс, проведение, число лимитов)</w:t>
            </w:r>
          </w:p>
        </w:tc>
        <w:tc>
          <w:tcPr>
            <w:tcW w:w="350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8 и 8</w:t>
            </w:r>
          </w:p>
        </w:tc>
        <w:tc>
          <w:tcPr>
            <w:tcW w:w="1469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20"/>
              </w:rPr>
              <w:t>совпадает</w:t>
            </w: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совпадают</w:t>
            </w:r>
          </w:p>
        </w:tc>
      </w:tr>
      <w:tr>
        <w:trPr>
          <w:cantSplit/>
        </w:trPr>
        <w:tc>
          <w:tcPr>
            <w:tcW w:w="4745" w:type="dxa"/>
            <w:vAlign w:val="top"/>
            <w:shd w:val="clear" w:color="auto" w:fill="F4F7FB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Сведения распространения правил (дата автоустановки, эталон, признаки, внешний код)</w:t>
            </w:r>
          </w:p>
        </w:tc>
        <w:tc>
          <w:tcPr>
            <w:tcW w:w="3502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38 и 38</w:t>
            </w:r>
          </w:p>
        </w:tc>
        <w:tc>
          <w:tcPr>
            <w:tcW w:w="1469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20"/>
              </w:rPr>
              <w:t>совпадает</w:t>
            </w: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совпадают (даты - по дню)</w:t>
            </w:r>
          </w:p>
        </w:tc>
      </w:tr>
      <w:tr>
        <w:trPr>
          <w:cantSplit/>
        </w:trPr>
        <w:tc>
          <w:tcPr>
            <w:tcW w:w="4745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Статусы и признаки неторговых (статус, дата, «позиция выгружена», «дата пересчета РСА»)</w:t>
            </w:r>
          </w:p>
        </w:tc>
        <w:tc>
          <w:tcPr>
            <w:tcW w:w="3502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18 и 18</w:t>
            </w:r>
          </w:p>
        </w:tc>
        <w:tc>
          <w:tcPr>
            <w:tcW w:w="1469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20"/>
              </w:rPr>
              <w:t>совпадает</w:t>
            </w: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совпадают (даты - по дню)</w:t>
            </w:r>
          </w:p>
        </w:tc>
      </w:tr>
    </w:tbl>
    <w:p>
      <w:pPr>
        <w:spacing w:after="80"/>
      </w:pPr>
    </w:p>
    <w:p>
      <w:pPr>
        <w:pStyle w:val="Heading2"/>
        <w:spacing w:before="240" w:after="80" w:line="240" w:lineRule="auto"/>
      </w:pPr>
      <w:r>
        <w:t>Замеры выключены</w:t>
      </w:r>
    </w:p>
    <w:p>
      <w:pPr>
        <w:spacing w:before="40" w:after="160" w:line="252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Отдельная серия S4 (07.10.2026): команда покупки версии 1.16 при выключенной константе - описание длительной операции не создается, фиксации шагов и запись замера сразу выходят. Для сравнения на тех же данных в тот же день выполнена версия 1.15; константа после прогона возвращена.</w:t>
      </w:r>
    </w:p>
    <w:tbl>
      <w:tblPr>
        <w:tblStyle w:val="TableGrid"/>
        <w:tblW w:type="dxa" w:w="15420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728"/>
        <w:gridCol w:w="2598"/>
        <w:gridCol w:w="1356"/>
        <w:gridCol w:w="7738"/>
      </w:tblGrid>
      <w:tr>
        <w:trPr>
          <w:cantSplit/>
          <w:tblHeader/>
        </w:trPr>
        <w:tc>
          <w:tcPr>
            <w:tcW w:w="3728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Прогон</w:t>
            </w:r>
          </w:p>
        </w:tc>
        <w:tc>
          <w:tcPr>
            <w:tcW w:w="2598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Факт</w:t>
            </w:r>
          </w:p>
        </w:tc>
        <w:tc>
          <w:tcPr>
            <w:tcW w:w="1356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Итог</w:t>
            </w:r>
          </w:p>
        </w:tc>
        <w:tc>
          <w:tcPr>
            <w:tcW w:w="7738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Подробно</w:t>
            </w:r>
          </w:p>
        </w:tc>
      </w:tr>
      <w:tr>
        <w:trPr>
          <w:cantSplit/>
        </w:trPr>
        <w:tc>
          <w:tcPr>
            <w:tcW w:w="3728" w:type="dxa"/>
            <w:vAlign w:val="top"/>
            <w:tcBorders>
              <w:top w:val="single" w:sz="4" w:color="DBE2EA" w:space="0"/>
              <w:left w:val="single" w:sz="16" w:color="1F9D55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Покупка, команда регламентного задания, версия 1.16, константа «Выполнять замеры производительности» выключена на время прогона</w:t>
            </w:r>
          </w:p>
        </w:tc>
        <w:tc>
          <w:tcPr>
            <w:tcW w:w="259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записей замеров: 0; ошибка точки входа: нет</w:t>
            </w:r>
          </w:p>
        </w:tc>
        <w:tc>
          <w:tcPr>
            <w:tcW w:w="1356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1F9D55"/>
                <w:sz w:val="20"/>
              </w:rPr>
              <w:t>совпадает</w:t>
            </w:r>
          </w:p>
        </w:tc>
        <w:tc>
          <w:tcPr>
            <w:tcW w:w="773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20"/>
              </w:rPr>
              <w:t>поручения и статусы портфелей как у оригинала на тех же данных (P01: T9530R ОФЗ 684 шт. по 1000.22; P02: T9530R ОФЗ 691 шт. по 1000.22; P03: T9530R ОФЗ 697 шт. по 1000.22)</w:t>
            </w:r>
          </w:p>
        </w:tc>
      </w:tr>
    </w:tbl>
    <w:p>
      <w:pPr>
        <w:spacing w:after="80"/>
      </w:pPr>
    </w:p>
    <w:p>
      <w:pPr>
        <w:pStyle w:val="Heading2"/>
        <w:spacing w:before="240" w:after="80" w:line="240" w:lineRule="auto"/>
      </w:pPr>
      <w:r>
        <w:t>Протокол прогонов</w:t>
      </w:r>
    </w:p>
    <w:tbl>
      <w:tblPr>
        <w:tblStyle w:val="TableGrid"/>
        <w:tblW w:type="dxa" w:w="15421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960"/>
        <w:gridCol w:w="1977"/>
        <w:gridCol w:w="3615"/>
        <w:gridCol w:w="1243"/>
        <w:gridCol w:w="3615"/>
        <w:gridCol w:w="1017"/>
        <w:gridCol w:w="2994"/>
      </w:tblGrid>
      <w:tr>
        <w:trPr>
          <w:cantSplit/>
          <w:tblHeader/>
        </w:trPr>
        <w:tc>
          <w:tcPr>
            <w:tcW w:w="960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Версия</w:t>
            </w:r>
          </w:p>
        </w:tc>
        <w:tc>
          <w:tcPr>
            <w:tcW w:w="1977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Шаг</w:t>
            </w:r>
          </w:p>
        </w:tc>
        <w:tc>
          <w:tcPr>
            <w:tcW w:w="3615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Сценарий</w:t>
            </w:r>
          </w:p>
        </w:tc>
        <w:tc>
          <w:tcPr>
            <w:tcW w:w="1243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Длительность, с</w:t>
            </w:r>
          </w:p>
        </w:tc>
        <w:tc>
          <w:tcPr>
            <w:tcW w:w="3615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Ошибка точки входа</w:t>
            </w:r>
          </w:p>
        </w:tc>
        <w:tc>
          <w:tcPr>
            <w:tcW w:w="1017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Записей замеров</w:t>
            </w:r>
          </w:p>
        </w:tc>
        <w:tc>
          <w:tcPr>
            <w:tcW w:w="2994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Покупка.Команда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покупка, команда регламентного задания (ориг)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Ready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Ready поручениям ОФЗ (3)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портфелям П04-П06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Покупка.Форма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покупка, кнопки формы (ориг)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передано на отправку: 9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Продажа.Команда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продажа, команда регламентного задания (ориг)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«Расторжение инициировано» портфелям С04-С06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Продажа.Форма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продажа, кнопки формы (ориг)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передано на отправку: 6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Реинвест.Форма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реинвестирование, кнопка формы без потоков (ориг)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Ошибка при вызове метода контекста (ПолучитьИзВременногоХранилища)</w:t>
            </w: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Реинвест.Потоки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реинвестирование, потоки формы и отправка пачки (ориг)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потоков 6, поручений 6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Блокировки.Потоки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продажи под блокировки, потоки формы и отправка пачки (ориг)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потоков 6, поручений 6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портфелям К01-К02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Покупка.БСП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 через БСП ВыполнитьКоманду (ориг)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Покупка.Команда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покупка, команда регламентного задания (замеры)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12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Ready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Ready поручениям ОФЗ (3)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портфелям П04-П06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Покупка.Форма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покупка, кнопки формы (замеры)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12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передано на отправку: 9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Продажа.Команда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продажа, команда регламентного задания (замеры)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9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«Расторжение инициировано» портфелям С04-С06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Продажа.Форма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продажа, кнопки формы (замеры)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8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передано на отправку: 6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Реинвест.Форма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реинвестирование, кнопка формы без потоков (замеры)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Ошибка при вызове метода контекста (ПолучитьИзВременногоХранилища)</w:t>
            </w: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Реинвест.Потоки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реинвестирование, потоки формы и отправка пачки (замеры)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потоков 6, поручений 6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Блокировки.Потоки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продажи под блокировки, потоки формы и отправка пачки (замеры)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потоков 6, поручений 6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портфелям К01-К02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Покупка.БСП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покупка через БСП ВыполнитьКоманду (замеры)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9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Распространение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распространение правил после обмена (ориг)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фоновое задание записи версий лимитов завершилось через 14 с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Распространение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распространение правил после обмена (замеры)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фоновое задание записи версий лимитов завершилось через 14 с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портфелям Н01-Н05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Неторговые.Успех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поручения, сервис отвечает (ориг)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журнал: Расчет произведен успешно!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портфелю Н06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Неторговые.ОтказВызова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поручения, отказ вызова сервиса (ориг)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журнал: Расчет произведен с ошибками: Ошибка рассылки отчета по почте: {ВнешняяОбработка.ЗагрузкаНеторговыхПорученийРОСТ.МодульОбъекта(858)}: Ошибка при вызове метода к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ориг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Неторговые.СервисНедоступен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поручения, сервис недоступен (ориг)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журнал: Расчет произведен с ошибками: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портфелям Н01-Н05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Неторговые.Успех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поручения, сервис отвечает (замеры)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журнал: Расчет произведен успешно!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Статусы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статус «Поиск ДС» портфелю Н06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Неторговые.ОтказВызова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поручения, отказ вызова сервиса (замеры)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1.0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журнал: Расчет произведен с ошибками: Ошибка рассылки отчета по почте: {ВнешняяОбработка.ЗагрузкаНеторговыхПорученийРОСТ.МодульОбъекта(872)}: Ошибка при вызове метода к</w:t>
            </w:r>
          </w:p>
        </w:tc>
      </w:tr>
      <w:tr>
        <w:trPr>
          <w:cantSplit/>
        </w:trPr>
        <w:tc>
          <w:tcPr>
            <w:tcW w:w="960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Неторговые.СервисНедоступен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неторговые поручения, сервис недоступен (замеры)</w:t>
            </w:r>
          </w:p>
        </w:tc>
        <w:tc>
          <w:tcPr>
            <w:tcW w:w="1243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3.0</w:t>
            </w:r>
          </w:p>
        </w:tc>
        <w:tc>
          <w:tcPr>
            <w:tcW w:w="361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299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журнал: Расчет произведен с ошибками:</w:t>
            </w:r>
          </w:p>
        </w:tc>
      </w:tr>
      <w:tr>
        <w:trPr>
          <w:cantSplit/>
        </w:trPr>
        <w:tc>
          <w:tcPr>
            <w:tcW w:w="960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замеры</w:t>
            </w:r>
          </w:p>
        </w:tc>
        <w:tc>
          <w:tcPr>
            <w:tcW w:w="197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Реинвест.ВебКлиент</w:t>
            </w: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кнопки формы в веб-клиенте: Обновить список портфелей, отметить все, Создать поручения в потоке (портфели Ф01-Ф03, тестовый режим выключен)</w:t>
            </w:r>
          </w:p>
        </w:tc>
        <w:tc>
          <w:tcPr>
            <w:tcW w:w="1243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</w:p>
        </w:tc>
        <w:tc>
          <w:tcPr>
            <w:tcW w:w="361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1017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15</w:t>
            </w:r>
          </w:p>
        </w:tc>
        <w:tc>
          <w:tcPr>
            <w:tcW w:w="299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</w:tbl>
    <w:p>
      <w:pPr>
        <w:spacing w:after="80"/>
      </w:pPr>
    </w:p>
    <w:p>
      <w:pPr>
        <w:pStyle w:val="Heading2"/>
        <w:spacing w:before="240" w:after="80" w:line="240" w:lineRule="auto"/>
      </w:pPr>
      <w:r>
        <w:t>Что показал тест</w:t>
      </w:r>
    </w:p>
    <w:p>
      <w:pPr>
        <w:spacing w:before="40" w:after="160" w:line="246" w:lineRule="auto"/>
        <w:pBdr>
          <w:left w:val="single" w:sz="18" w:space="8" w:color="C98A04"/>
        </w:pBdr>
        <w:shd w:val="clear" w:color="auto" w:fill="FFF8EC"/>
      </w:pPr>
      <w:r>
        <w:rPr>
          <w:rFonts w:ascii="Calibri" w:hAnsi="Calibri" w:cs="Calibri"/>
          <w:b/>
          <w:i w:val="0"/>
          <w:color w:val="18212D"/>
          <w:sz w:val="22"/>
        </w:rPr>
        <w:t>Реинвестирование без потоков (кнопка формы «Создать и отправить ордера») в оригинале завершается ошибкой.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</w:t>
      </w:r>
      <w:r>
        <w:rPr>
          <w:rFonts w:ascii="Consolas" w:hAnsi="Consolas" w:cs="Consolas"/>
          <w:b w:val="0"/>
          <w:i w:val="0"/>
          <w:color w:val="1D3557"/>
          <w:sz w:val="21"/>
        </w:rPr>
        <w:t>РеинвестСоздатьИОтправитьОрдера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передает в </w:t>
      </w:r>
      <w:r>
        <w:rPr>
          <w:rFonts w:ascii="Consolas" w:hAnsi="Consolas" w:cs="Consolas"/>
          <w:b w:val="0"/>
          <w:i w:val="0"/>
          <w:color w:val="1D3557"/>
          <w:sz w:val="21"/>
        </w:rPr>
        <w:t>РеинвестСоздатьОрдера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адрес </w:t>
      </w:r>
      <w:r>
        <w:rPr>
          <w:rFonts w:ascii="Consolas" w:hAnsi="Consolas" w:cs="Consolas"/>
          <w:b w:val="0"/>
          <w:i w:val="0"/>
          <w:color w:val="1D3557"/>
          <w:sz w:val="21"/>
        </w:rPr>
        <w:t>Неопределено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; процедура помещает ответ во временное хранилище, но новый адрес не возвращает, и </w:t>
      </w:r>
      <w:r>
        <w:rPr>
          <w:rFonts w:ascii="Consolas" w:hAnsi="Consolas" w:cs="Consolas"/>
          <w:b w:val="0"/>
          <w:i w:val="0"/>
          <w:color w:val="1D3557"/>
          <w:sz w:val="21"/>
        </w:rPr>
        <w:t>ПолучитьИзВременногоХранилища(Неопределено)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вызывает исключение. Поручения созданы и статусы портфелей изменены, отправка не выполняется. В версии с замерами поведение то же, общая запись </w:t>
      </w:r>
      <w:r>
        <w:rPr>
          <w:rFonts w:ascii="Consolas" w:hAnsi="Consolas" w:cs="Consolas"/>
          <w:b w:val="0"/>
          <w:i w:val="0"/>
          <w:color w:val="1D3557"/>
          <w:sz w:val="21"/>
        </w:rPr>
        <w:t>РОСТ.Реинвестирование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с запуском «форма» не пишется: операция прерывается до записи замера. Бизнес-код по инварианту не менялся; исправление - в IMDEV-9531.</w:t>
      </w:r>
    </w:p>
    <w:p>
      <w:pPr>
        <w:spacing w:before="40" w:after="160" w:line="246" w:lineRule="auto"/>
        <w:pBdr>
          <w:left w:val="single" w:sz="18" w:space="8" w:color="C98A04"/>
        </w:pBdr>
        <w:shd w:val="clear" w:color="auto" w:fill="FFF8EC"/>
      </w:pPr>
      <w:r>
        <w:rPr>
          <w:rFonts w:ascii="Calibri" w:hAnsi="Calibri" w:cs="Calibri"/>
          <w:b/>
          <w:i w:val="0"/>
          <w:color w:val="18212D"/>
          <w:sz w:val="22"/>
        </w:rPr>
        <w:t>Потоки формы могут не вернуть ответ форме.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Форма создает адрес ответа потока через </w:t>
      </w:r>
      <w:r>
        <w:rPr>
          <w:rFonts w:ascii="Consolas" w:hAnsi="Consolas" w:cs="Consolas"/>
          <w:b w:val="0"/>
          <w:i w:val="0"/>
          <w:color w:val="1D3557"/>
          <w:sz w:val="21"/>
        </w:rPr>
        <w:t>ПоместитьВоВременноеХранилище(Неопределено)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без идентификатора формы. В первом нажатии кнопки в веб-клиенте ответы потоков получены («Создание и отправка поручений на реинвестирование купона завершено!»), во втором - на закладке «Лог» по каждому потоку «Ошибка получения результат из: e1cib/tempstorage/...», и отправка пачки из формы не вызывается. Сами потоки завершились, их замеры записаны полностью. Код получения ответа и создания адреса не менялся (в модуле формы добавлен только подсчет </w:t>
      </w:r>
      <w:r>
        <w:rPr>
          <w:rFonts w:ascii="Consolas" w:hAnsi="Consolas" w:cs="Consolas"/>
          <w:b w:val="0"/>
          <w:i w:val="0"/>
          <w:color w:val="1D3557"/>
          <w:sz w:val="21"/>
        </w:rPr>
        <w:t>ПортфелейВПакете</w:t>
      </w:r>
      <w:r>
        <w:rPr>
          <w:rFonts w:ascii="Calibri" w:hAnsi="Calibri" w:cs="Calibri"/>
          <w:b w:val="0"/>
          <w:i w:val="0"/>
          <w:color w:val="18212D"/>
          <w:sz w:val="22"/>
        </w:rPr>
        <w:t>); передать в IMDEV-9531.</w:t>
      </w:r>
    </w:p>
    <w:p>
      <w:pPr>
        <w:spacing w:before="40" w:after="160" w:line="246" w:lineRule="auto"/>
        <w:pBdr>
          <w:left w:val="single" w:sz="18" w:space="8" w:color="C98A04"/>
        </w:pBdr>
        <w:shd w:val="clear" w:color="auto" w:fill="FFF8EC"/>
      </w:pPr>
      <w:r>
        <w:rPr>
          <w:rFonts w:ascii="Calibri" w:hAnsi="Calibri" w:cs="Calibri"/>
          <w:b/>
          <w:i w:val="0"/>
          <w:color w:val="18212D"/>
          <w:sz w:val="22"/>
        </w:rPr>
        <w:t>Неторговые поручения: ошибка вызова сервиса попадает в лог с текстом «Ошибка рассылки отчета по почте».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Исключение вызова </w:t>
      </w:r>
      <w:r>
        <w:rPr>
          <w:rFonts w:ascii="Consolas" w:hAnsi="Consolas" w:cs="Consolas"/>
          <w:b w:val="0"/>
          <w:i w:val="0"/>
          <w:color w:val="1D3557"/>
          <w:sz w:val="21"/>
        </w:rPr>
        <w:t>GetAgreementAmount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перехватывает общая конструкция Попытка вокруг создания поручений и рассылки. Замер в этом случае пишется общей записью с признаком ошибки, шаги не пишутся.</w:t>
      </w:r>
    </w:p>
    <w:p>
      <w:pPr>
        <w:spacing w:before="40" w:after="160" w:line="246" w:lineRule="auto"/>
        <w:pBdr>
          <w:left w:val="single" w:sz="18" w:space="8" w:color="C98A04"/>
        </w:pBdr>
        <w:shd w:val="clear" w:color="auto" w:fill="FFF8EC"/>
      </w:pPr>
      <w:r>
        <w:rPr>
          <w:rFonts w:ascii="Calibri" w:hAnsi="Calibri" w:cs="Calibri"/>
          <w:b/>
          <w:i w:val="0"/>
          <w:color w:val="18212D"/>
          <w:sz w:val="22"/>
        </w:rPr>
        <w:t>Путь регламентного задания без тестового режима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(команда через БСП): на dev нет адаптера биржи, запрос цены из стакана не возвращает цену, поручение помечается на удаление, транзакция портфеля отменяется. Замер пишется: шаги записи поручения и запроса цены видны, «Поручений: 0», «Проведений: 2». То же у кнопки в веб-клиенте: «Поручений: 0; Проведений: 1» в каждом потоке.</w:t>
      </w:r>
    </w:p>
    <w:p>
      <w:pPr>
        <w:spacing w:before="40" w:after="160" w:line="246" w:lineRule="auto"/>
        <w:pBdr>
          <w:left w:val="single" w:sz="18" w:space="8" w:color="C98A04"/>
        </w:pBdr>
        <w:shd w:val="clear" w:color="auto" w:fill="FFF8EC"/>
      </w:pPr>
      <w:r>
        <w:rPr>
          <w:rFonts w:ascii="Calibri" w:hAnsi="Calibri" w:cs="Calibri"/>
          <w:b/>
          <w:i w:val="0"/>
          <w:color w:val="18212D"/>
          <w:sz w:val="22"/>
        </w:rPr>
        <w:t>Размер пакета потоков.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В записях потоков «Портфелей в пакете» - число портфелей, распределенных по потокам в этом нажатии (6 в сценариях формы, 3 в веб-клиенте), «Портфелей» - портфели самого потока. Сумма времени потоков больше длительности пакета: потоки идут параллельно.</w:t>
      </w:r>
    </w:p>
    <w:p>
      <w:pPr>
        <w:pStyle w:val="Heading2"/>
        <w:spacing w:before="240" w:after="80" w:line="240" w:lineRule="auto"/>
      </w:pPr>
      <w:r>
        <w:t>Проверка кнопки формы в веб-клиенте</w:t>
      </w:r>
    </w:p>
    <w:p>
      <w:pPr>
        <w:spacing w:before="40" w:after="160" w:line="252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Форма обработки версии 1.16 открыта командой карточки дополнительной обработки, закладка «Реинвестирование»: дата купона, «Обновить список портфелей», отметить все, «Создать поручения в потоке». Модуль формы скомпилирован и выполнен в веб-клиенте, три фоновых потока записали замеры с «Портфелей в пакете: 3». Сеанс завершен командой «Файл - Выход».</w:t>
      </w:r>
    </w:p>
    <w:p>
      <w:pPr>
        <w:spacing w:before="120" w:after="40" w:line="23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20000" cy="496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30" w:lineRule="auto"/>
        <w:jc w:val="center"/>
      </w:pPr>
      <w:r>
        <w:rPr>
          <w:rFonts w:ascii="Calibri" w:hAnsi="Calibri" w:cs="Calibri"/>
          <w:b w:val="0"/>
          <w:i/>
          <w:color w:val="5D6B7C"/>
          <w:sz w:val="20"/>
        </w:rPr>
        <w:t>Форма после потоков (серия S3)</w:t>
      </w:r>
    </w:p>
    <w:p>
      <w:pPr>
        <w:spacing w:before="120" w:after="40" w:line="23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20000" cy="496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30" w:lineRule="auto"/>
        <w:jc w:val="center"/>
      </w:pPr>
      <w:r>
        <w:rPr>
          <w:rFonts w:ascii="Calibri" w:hAnsi="Calibri" w:cs="Calibri"/>
          <w:b w:val="0"/>
          <w:i/>
          <w:color w:val="5D6B7C"/>
          <w:sz w:val="20"/>
        </w:rPr>
        <w:t>Закладка «Лог»: форма не получила ответы потоков</w:t>
      </w:r>
    </w:p>
    <w:p>
      <w:pPr>
        <w:spacing w:before="120" w:after="40" w:line="23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20000" cy="496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30" w:lineRule="auto"/>
        <w:jc w:val="center"/>
      </w:pPr>
      <w:r>
        <w:rPr>
          <w:rFonts w:ascii="Calibri" w:hAnsi="Calibri" w:cs="Calibri"/>
          <w:b w:val="0"/>
          <w:i/>
          <w:color w:val="5D6B7C"/>
          <w:sz w:val="20"/>
        </w:rPr>
        <w:t>Первое нажатие (серия S2): ответы получены, сообщения о завершении</w:t>
      </w:r>
    </w:p>
    <w:p>
      <w:pPr>
        <w:pStyle w:val="Heading2"/>
        <w:spacing w:before="240" w:after="80" w:line="240" w:lineRule="auto"/>
      </w:pPr>
      <w:r>
        <w:t>Тестовые данные и изменения разработческой базы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Портфели «T9530R &lt;серия&gt; &lt;версия&gt; &lt;группа&gt;NN» с субпортфелями (стратегия «T9530R РОСТ», место хранения «T9530R Брокерский счет» вида «брокерский счет»), группы: П - покупка, К - покупка через БСП, С - продажа, Р - реинвестирование, Б - продажи под блокировки, Ф - веб-клиент, Л - распространение правил, Н - неторговые; эталонный портфель серии.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Свойства «T9530R Статус портфеля (ориг/замеры)», «T9530R Дата статуса ...», «T9530R Статус неторговых (ориг/замеры)», свойства распространения правил по классам, «T9530R Позиция выгружена», «T9530R Дата пересчета РСА»; тип клиента «T9530R Розничный ДУ».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Облигация и актив «T9530R ОФЗ» (копия облигации стенда) с купонным расписанием; неторговые поручения ввода и вывода, фактическая позиция, установки лимитов эталона - тестовая обработка «T9530 тест обработок РОСТ (IMDEV-9530)», зарегистрирована в справочнике.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Константа «Использовать классы лимитов» на время шага распространения правил включалась (на dev выключена, без нее вторая установка лимитов портфеля запрещена к проведению) и возвращена в исходное значение.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Неторговые поручения обращаются к веб-сервису 1С:ДО: на время теста использовалась локальная заглушка сервиса (</w:t>
      </w:r>
      <w:r>
        <w:rPr>
          <w:rFonts w:ascii="Consolas" w:hAnsi="Consolas" w:cs="Consolas"/>
          <w:b w:val="0"/>
          <w:i w:val="0"/>
          <w:color w:val="1D3557"/>
          <w:sz w:val="21"/>
        </w:rPr>
        <w:t>mock_dm_service.py</w:t>
      </w:r>
      <w:r>
        <w:rPr>
          <w:rFonts w:ascii="Calibri" w:hAnsi="Calibri" w:cs="Calibri"/>
          <w:b w:val="0"/>
          <w:i w:val="0"/>
          <w:color w:val="18212D"/>
          <w:sz w:val="22"/>
        </w:rPr>
        <w:t>), ответы по номерам договоров тестовых портфелей.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Константа «Выполнять замеры производительности» выключалась на один прогон серии S4 и возвращена.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Серии S1 (отладка) и S2 закрыты: их портфелям поставлены конечные статусы, не входящие в отборы обработок. Серия S2 повторена как S3, потому что портфели отладочной серии попадали в отборы S2 и искажали счетчики. После сбора результатов серии S3 и S4 тоже закрыты.</w:t>
      </w:r>
    </w:p>
    <w:p>
      <w:pPr>
        <w:pStyle w:val="ListBullet"/>
        <w:spacing w:before="20" w:after="60" w:line="240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>Элементы справочника дополнительных обработок «Создание торговых поручений РОСТ», «Распространение правил ...», «Загрузка неторговых поручений РОСТ» оставлены в версии с замерами и тестовыми настройками.</w:t>
      </w:r>
    </w:p>
    <w:p>
      <w:pPr>
        <w:pStyle w:val="Heading2"/>
        <w:spacing w:before="240" w:after="80" w:line="240" w:lineRule="auto"/>
      </w:pPr>
      <w:r>
        <w:t>Все записи регистра</w:t>
      </w:r>
    </w:p>
    <w:tbl>
      <w:tblPr>
        <w:tblStyle w:val="TableGrid"/>
        <w:tblW w:type="dxa" w:w="15421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08"/>
        <w:gridCol w:w="734"/>
        <w:gridCol w:w="4801"/>
        <w:gridCol w:w="904"/>
        <w:gridCol w:w="678"/>
        <w:gridCol w:w="791"/>
        <w:gridCol w:w="5705"/>
      </w:tblGrid>
      <w:tr>
        <w:trPr>
          <w:cantSplit/>
          <w:tblHeader/>
        </w:trPr>
        <w:tc>
          <w:tcPr>
            <w:tcW w:w="1808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Начало замера</w:t>
            </w:r>
          </w:p>
        </w:tc>
        <w:tc>
          <w:tcPr>
            <w:tcW w:w="734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Сеанс</w:t>
            </w:r>
          </w:p>
        </w:tc>
        <w:tc>
          <w:tcPr>
            <w:tcW w:w="4801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Ключ</w:t>
            </w:r>
          </w:p>
        </w:tc>
        <w:tc>
          <w:tcPr>
            <w:tcW w:w="904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Время, с</w:t>
            </w:r>
          </w:p>
        </w:tc>
        <w:tc>
          <w:tcPr>
            <w:tcW w:w="678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Вес</w:t>
            </w:r>
          </w:p>
        </w:tc>
        <w:tc>
          <w:tcPr>
            <w:tcW w:w="791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Ошибка</w:t>
            </w:r>
          </w:p>
        </w:tc>
        <w:tc>
          <w:tcPr>
            <w:tcW w:w="5705" w:type="dxa"/>
            <w:vAlign w:val="top"/>
            <w:shd w:val="clear" w:color="auto" w:fill="1D3557"/>
            <w:tcBorders>
              <w:top w:val="single" w:sz="4" w:color="1D3557" w:space="0"/>
              <w:left w:val="single" w:sz="4" w:color="1D3557" w:space="0"/>
              <w:bottom w:val="single" w:sz="4" w:color="1D3557" w:space="0"/>
              <w:right w:val="single" w:sz="4" w:color="1D3557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11:37:26.079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2.607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3; Поручений: 3; Проведений: 9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11:37:26.079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РОСТ.Покупка.ОтборПортфелей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0.011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11:37:26.079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0.884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3; Поручений: 3; Проведений: 9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11:37:26.113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РОСТ.Покупка.РасчетПотоковОФЗ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0.022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11:37:26.135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11:37:26.280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11:37:26.283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0.083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11:37:26.389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РОСТ.Покупка.РасчетКоличестваОФЗ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0.007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11:37:26.396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РОСТ.Покупка.ПроведениеКоличества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0.107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11:37:26.485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0.046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11:37:27.160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РОСТ.Покупка.ПроверкаИОтправка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0.508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11:37:28.685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РОСТ.Покупка.Рассылка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3; Поручений: 3; Проведений: 9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11:37:31.251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5.173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9; Проведений: 27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11:37:31.251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РОСТ.Покупка.РасчетПотоковОФЗ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11:37:31.251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0.774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9; Проведений: 27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11:37:31.312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0.099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9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11:37:31.544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9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11:37:31.548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0.113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9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11:37:31.700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0.112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11:37:32.147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0.052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11:37:33.723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РОСТ.Покупка.РасчетКоличестваОФЗ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0.007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11:37:33.729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РОСТ.Покупка.ПроведениеКоличества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0.129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11:37:34.636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РОСТ.Покупка.ПроверкаИОтправка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0.199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9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11:37:36.424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РОСТ.Покупка.Завершение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9; Проведений: 27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11:37:37.192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2.806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34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3; Поручений: 6; Проведений: 12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11:37:37.192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РОСТ.Продажа.ОтборПортфелей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0.012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11:37:37.192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0.498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34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3; Поручений: 6; Проведений: 12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11:37:37.264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11:37:37.392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11:37:37.396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0.109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11:37:38.515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РОСТ.Продажа.СтатусПортфеля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11:37:38.697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РОСТ.Продажа.ПроверкаИОтправка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0.217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11:37:39.998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РОСТ.Продажа.Рассылка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3; Поручений: 6; Проведений: 12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11:37:41.235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2.679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28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3; Поручений: 6; Проведений: 12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11:37:41.235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11:37:41.235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0.475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28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3; Поручений: 6; Проведений: 12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11:37:41.361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11:37:41.365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0.106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11:37:42.455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РОСТ.Продажа.СтатусПортфеля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0.057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11:37:42.627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РОСТ.Продажа.ПроверкаИОтправка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0.215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11:37:43.914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3; Поручений: 6; Проведений: 12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11:37:46.361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0.677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11:37:46.361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0.282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11:37:46.361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0.677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11:37:46.367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0.550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4;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11:37:46.367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0.172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11:37:46.367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0.550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4;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11:37:46.395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0.750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11:37:46.395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0.362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11:37:46.395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0.750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11:37:46.402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5;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11:37:46.402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0.468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11:37:46.402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5;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11:37:46.433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0.890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6;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11:37:46.433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0.551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11:37:46.433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0.890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6;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11:37:46.469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0.926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11:37:46.469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0.651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11:37:46.469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0.926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11:37:46.539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11:37:46.544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11:37:46.640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РОСТ.Реинвестирование.ПроведениеСуммы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0.205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11:37:46.643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0.005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11:37:46.648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0.100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11:37:46.748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0.193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11:37:46.757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11:37:46.763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0.168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11:37:46.845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0.072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11:37:46.870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11:37:46.873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0.149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11:37:46.917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4;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11:37:46.931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РОСТ.Реинвестирование.ПроведениеСуммы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0.153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11:37:46.941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РОСТ.Реинвестирование.СтатусПортфеля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0.097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11:37:46.984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0.004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11:37:46.988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0.122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11:37:47.022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РОСТ.Реинвестирование.ПроведениеСуммы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0.119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11:37:47.038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11:37:47.084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11:37:47.110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0.155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11:37:47.120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11:37:47.123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0.114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11:37:47.141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11:37:47.145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11:37:47.203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5;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11:37:47.237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11:37:47.265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0.058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11:37:47.323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6;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11:37:47.333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11:37:47.395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11:37:47.425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34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1.340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6; Проведений: 0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11:37:47.425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34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РОСТ.ОтправкаПачки.ПроверкаИОтправка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0.223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11:37:47.425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34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0.223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6; Проведений: 0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11:37:48.765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34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6; Проведений: 0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0.502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0.133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0.502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0.639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4;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0.702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5;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0.246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0.348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0.639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4;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11:37:49.467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0.702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5;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11:37:49.470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0.759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6;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11:37:49.470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0.456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11:37:49.470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0.759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6;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11:37:49.493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0.996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11:37:49.493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РОСТ.ПродажаПодБлокировки.ЗаписьПоручения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0.660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11:37:49.493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0.996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11:37:49.495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0.888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11:37:49.495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0.543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11:37:49.495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0.888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11:37:49.594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0.004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11:37:49.598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0.116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11:37:49.713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0.004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11:37:49.714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0.173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11:37:49.717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0.116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11:37:49.815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0.005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11:37:49.820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0.106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11:37:49.833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0.170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11:37:49.887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0.076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11:37:49.926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0.169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11:37:49.926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11:37:49.931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0.099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11:37:49.963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48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РОСТ.ПродажаПодБлокировки.Завершение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11:37:50.003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РОСТ.ПродажаПодБлокировки.СтатусПортфеля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0.103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11:37:50.030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РОСТ.ПродажаПодБлокировки.ПроведениеСуммы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0.131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11:37:50.038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0.005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11:37:50.043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РОСТ.ПродажаПодБлокировки.ПроведениеСЦеной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0.105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11:37:50.095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РОСТ.ПродажаПодБлокировки.СтатусПортфеля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0.074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11:37:50.106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РОСТ.ПродажаПодБлокировки.Завершение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4;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11:37:50.148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0.171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11:37:50.153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0.004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11:37:50.157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РОСТ.ПродажаПодБлокировки.ПроведениеСЦеной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0.140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11:37:50.161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0.068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11:37:50.169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52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5;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11:37:50.229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53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РОСТ.ПродажаПодБлокировки.Завершение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6;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11:37:50.297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РОСТ.ПродажаПодБлокировки.ПроведениеСуммы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0.127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11:37:50.319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0.064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11:37:50.383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50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11:37:50.424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РОСТ.ПродажаПодБлокировки.СтатусПортфеля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0.065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11:37:50.489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49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РОСТ.ПродажаПодБлокировки.Завершение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6; Портфелей: 1; Поручений: 1; Проведений: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11:37:50.519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47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1.251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6; Проведений: 0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11:37:50.519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РОСТ.ОтправкаПачки.ПроверкаИОтправка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0.209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11:37:50.519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47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0.209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6; Проведений: 0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11:37:51.770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РОСТ.ОтправкаПачки.Завершение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форма; Портфелей: 6; Поручений: 6; Проведений: 0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11:37:53.347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0.960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14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5; Поручений: 0; Проведений: 2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11:37:53.347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РОСТ.Покупка.ОтборПортфелей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11:37:53.347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РОСТ.Покупка.Удельный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0.597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14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5; Поручений: 0; Проведений: 2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11:37:53.390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РОСТ.Покупка.РасчетПотоковОФЗ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0.034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11:37:53.424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0.138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11:37:53.590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0.076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11:37:53.677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РОСТ.Покупка.РасчетКоличестваОФЗ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0.115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11:37:54.081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РОСТ.Покупка.ПроверкаИОтправка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0.226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11:37:54.307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61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РОСТ.Покупка.Рассылка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регламентное задание; Портфелей: 5; Поручений: 0; Проведений: 2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11:38:47.974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1.583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Классов: 2; Новых клиентов: 12; Распространено: 7; Без автоустановки: 4; Запись версий лимитов в фоне: 7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11:38:47.975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РаспространениеПравилЛимитов.ПоискНовыхКлиентов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0.016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Класс: комплаенс; Новых клиентов: 6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11:38:47.997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РаспространениеПравилЛимитов.СозданиеУстановок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0.672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Класс: комплаенс; Новых клиентов: 6; Распространено: 3; Уже с установкой: 1; Без автоустановки: 2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11:38:48.674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РаспространениеПравилЛимитов.Рассылка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Класс: комплаенс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11:38:48.680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РаспространениеПравилЛимитов.ПоискНовыхКлиентов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0.049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Класс: риски; Новых клиентов: 6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11:38:48.734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РаспространениеПравилЛимитов.СозданиеУстановок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0.813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4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Класс: риски; Новых клиентов: 6; Распространено: 4; Уже с установкой: 0; Без автоустановки: 2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11:38:49.553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РаспространениеПравилЛимитов.Рассылка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Класс: риски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11:39:34.109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0.627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создано: 3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11:39:34.109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ЗагрузкаНеторговыхПорученийРОСТ.СозданиеПоручений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0.613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создано: 3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11:39:34.731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ЗагрузкаНеторговыхПорученийРОСТ.Рассылка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11:39:36.180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0.139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да</w:t>
            </w: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создано: 0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11:39:37.243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2.265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да</w:t>
            </w: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создано: 0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11:39:37.243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ЗагрузкаНеторговыхПорученийРОСТ.СозданиеПоручений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2.252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Поручений создано: 0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06.10 11:39:39.503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ЗагрузкаНеторговыхПорученийРОСТ.Рассылка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0.001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09:04:40.361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1.109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09:04:40.361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0.636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09:04:40.361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1.109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09:04:40.997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0.240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09:04:41.163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0.506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09:04:41.163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0.236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09:04:41.163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0.506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09:04:41.237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5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0.233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1;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09:04:41.399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0.129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09:04:41.528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6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0.141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2;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09:04:41.843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0.261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09:04:41.843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РОСТ.Реинвестирование.ЗаписьПоручения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0.130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09:04:41.843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РОСТ.Реинвестирование.Удельный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0.261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3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3; Портфелей: 1; Поручений: 0; Проведений: 1</w:t>
            </w:r>
          </w:p>
        </w:tc>
      </w:tr>
      <w:tr>
        <w:trPr>
          <w:cantSplit/>
        </w:trPr>
        <w:tc>
          <w:tcPr>
            <w:tcW w:w="180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09:04:41.973</w:t>
            </w:r>
          </w:p>
        </w:tc>
        <w:tc>
          <w:tcPr>
            <w:tcW w:w="73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480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РОСТ.Реинвестирование.ЦенаИзСтакана</w:t>
            </w:r>
          </w:p>
        </w:tc>
        <w:tc>
          <w:tcPr>
            <w:tcW w:w="904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0.050</w:t>
            </w:r>
          </w:p>
        </w:tc>
        <w:tc>
          <w:tcPr>
            <w:tcW w:w="678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shd w:val="clear" w:color="auto" w:fill="F4F7FB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</w:tr>
      <w:tr>
        <w:trPr>
          <w:cantSplit/>
        </w:trPr>
        <w:tc>
          <w:tcPr>
            <w:tcW w:w="180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07.10 09:04:42.023</w:t>
            </w:r>
          </w:p>
        </w:tc>
        <w:tc>
          <w:tcPr>
            <w:tcW w:w="73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7</w:t>
            </w:r>
          </w:p>
        </w:tc>
        <w:tc>
          <w:tcPr>
            <w:tcW w:w="480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onsolas" w:hAnsi="Consolas" w:cs="Consolas"/>
                <w:b w:val="0"/>
                <w:i w:val="0"/>
                <w:color w:val="1D3557"/>
                <w:sz w:val="16"/>
              </w:rPr>
              <w:t>РОСТ.Реинвестирование.Завершение</w:t>
            </w:r>
          </w:p>
        </w:tc>
        <w:tc>
          <w:tcPr>
            <w:tcW w:w="904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0.081</w:t>
            </w:r>
          </w:p>
        </w:tc>
        <w:tc>
          <w:tcPr>
            <w:tcW w:w="678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  <w:jc w:val="right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1</w:t>
            </w:r>
          </w:p>
        </w:tc>
        <w:tc>
          <w:tcPr>
            <w:tcW w:w="791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</w:p>
        </w:tc>
        <w:tc>
          <w:tcPr>
            <w:tcW w:w="5705" w:type="dxa"/>
            <w:vAlign w:val="top"/>
            <w:tcBorders>
              <w:top w:val="single" w:sz="4" w:color="DBE2EA" w:space="0"/>
              <w:left w:val="single" w:sz="4" w:color="DBE2EA" w:space="0"/>
              <w:bottom w:val="single" w:sz="4" w:color="DBE2EA" w:space="0"/>
              <w:right w:val="single" w:sz="4" w:color="DBE2EA" w:space="0"/>
            </w:tcBorders>
          </w:tcPr>
          <w:p>
            <w:pPr>
              <w:spacing w:before="0" w:after="0" w:line="230" w:lineRule="auto"/>
            </w:pPr>
            <w:r>
              <w:rPr>
                <w:rFonts w:ascii="Calibri" w:hAnsi="Calibri" w:cs="Calibri"/>
                <w:b w:val="0"/>
                <w:i w:val="0"/>
                <w:color w:val="18212D"/>
                <w:sz w:val="16"/>
              </w:rPr>
              <w:t>Запуск: поток 3; Портфелей в пакете: 3; Портфелей: 1; Поручений: 0; Проведений: 1</w:t>
            </w:r>
          </w:p>
        </w:tc>
      </w:tr>
    </w:tbl>
    <w:p>
      <w:pPr>
        <w:spacing w:after="80"/>
      </w:pPr>
    </w:p>
    <w:p>
      <w:pPr>
        <w:spacing w:before="40" w:after="160" w:line="252" w:lineRule="auto"/>
      </w:pPr>
      <w:r>
        <w:rPr>
          <w:rFonts w:ascii="Calibri" w:hAnsi="Calibri" w:cs="Calibri"/>
          <w:b w:val="0"/>
          <w:i w:val="0"/>
          <w:color w:val="18212D"/>
          <w:sz w:val="22"/>
        </w:rPr>
        <w:t xml:space="preserve">Источник: Тестирование\Стенд_замеры\results\stage4_S3.json (run_stage4_tests.py collect); </w:t>
      </w:r>
      <w:r>
        <w:rPr>
          <w:rFonts w:ascii="Consolas" w:hAnsi="Consolas" w:cs="Consolas"/>
          <w:b w:val="0"/>
          <w:i w:val="0"/>
          <w:color w:val="1D3557"/>
          <w:sz w:val="21"/>
        </w:rPr>
        <w:t>РОСТ.</w:t>
      </w:r>
      <w:r>
        <w:rPr>
          <w:rFonts w:ascii="Calibri" w:hAnsi="Calibri" w:cs="Calibri"/>
          <w:b w:val="0"/>
          <w:i w:val="0"/>
          <w:color w:val="18212D"/>
          <w:sz w:val="22"/>
        </w:rPr>
        <w:t xml:space="preserve"> - сокращение </w:t>
      </w:r>
      <w:r>
        <w:rPr>
          <w:rFonts w:ascii="Consolas" w:hAnsi="Consolas" w:cs="Consolas"/>
          <w:b w:val="0"/>
          <w:i w:val="0"/>
          <w:color w:val="1D3557"/>
          <w:sz w:val="21"/>
        </w:rPr>
        <w:t>СозданиеТорговыхПорученийРОСТ.</w:t>
      </w:r>
      <w:r>
        <w:rPr>
          <w:rFonts w:ascii="Calibri" w:hAnsi="Calibri" w:cs="Calibri"/>
          <w:b w:val="0"/>
          <w:i w:val="0"/>
          <w:color w:val="18212D"/>
          <w:sz w:val="22"/>
        </w:rPr>
        <w:t>; время начала - местное время сервера ФО.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709" w:bottom="737" w:left="70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00" w:lineRule="auto"/>
      <w:jc w:val="right"/>
    </w:pPr>
    <w:r>
      <w:rPr>
        <w:rFonts w:ascii="Calibri" w:hAnsi="Calibri" w:cs="Calibri"/>
        <w:b w:val="0"/>
        <w:i w:val="0"/>
        <w:color w:val="5D6B7C"/>
        <w:sz w:val="18"/>
      </w:rPr>
      <w:t xml:space="preserve">Стр. </w:t>
    </w:r>
    <w:r>
      <w:rPr>
        <w:rFonts w:ascii="Calibri" w:hAnsi="Calibri" w:cs="Calibri"/>
        <w:b w:val="0"/>
        <w:i w:val="0"/>
        <w:color w:val="5D6B7C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cs="Calibri"/>
        <w:b w:val="0"/>
        <w:i w:val="0"/>
        <w:color w:val="5D6B7C"/>
        <w:sz w:val="18"/>
      </w:rPr>
      <w:t xml:space="preserve"> из </w:t>
    </w:r>
    <w:r>
      <w:rPr>
        <w:rFonts w:ascii="Calibri" w:hAnsi="Calibri" w:cs="Calibri"/>
        <w:b w:val="0"/>
        <w:i w:val="0"/>
        <w:color w:val="5D6B7C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00" w:lineRule="auto"/>
      <w:jc w:val="right"/>
      <w:pBdr>
        <w:bottom w:val="single" w:sz="6" w:space="1" w:color="DBE2EA"/>
      </w:pBdr>
    </w:pPr>
    <w:r>
      <w:rPr>
        <w:rFonts w:ascii="Calibri" w:hAnsi="Calibri" w:cs="Calibri"/>
        <w:b w:val="0"/>
        <w:i w:val="0"/>
        <w:color w:val="5D6B7C"/>
        <w:sz w:val="18"/>
      </w:rPr>
      <w:t>IMDEV-9530  |  этап 4  |  тестирование замеров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18212D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D35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Тестирование замеров внешних обработок лимитов и поручений (IMDEV-9530, этап 4)</dc:title>
  <dc:subject>IMDEV-9530, этап 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Отчет о тестировании</cp:category>
</cp:coreProperties>
</file>