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5FBCD" w14:textId="64950CA0" w:rsidR="00CD1BD2" w:rsidRDefault="00650197">
      <w:r>
        <w:rPr>
          <w:lang w:val="ru-RU"/>
        </w:rPr>
        <w:t xml:space="preserve">Проведем на базе </w:t>
      </w:r>
      <w:proofErr w:type="gramStart"/>
      <w:r>
        <w:rPr>
          <w:lang w:val="ru-RU"/>
        </w:rPr>
        <w:t>ФО(</w:t>
      </w:r>
      <w:proofErr w:type="spellStart"/>
      <w:proofErr w:type="gramEnd"/>
      <w:r>
        <w:rPr>
          <w:lang w:val="ru-RU"/>
        </w:rPr>
        <w:t>розн</w:t>
      </w:r>
      <w:proofErr w:type="spellEnd"/>
      <w:r>
        <w:rPr>
          <w:lang w:val="ru-RU"/>
        </w:rPr>
        <w:t>) Т-1  тест замеряющий время выполнения кода связанного с отправкой  (</w:t>
      </w:r>
      <w:r>
        <w:t>FIX</w:t>
      </w:r>
      <w:r w:rsidRPr="00650197">
        <w:rPr>
          <w:lang w:val="ru-RU"/>
        </w:rPr>
        <w:t xml:space="preserve"> </w:t>
      </w:r>
      <w:r>
        <w:rPr>
          <w:lang w:val="ru-RU"/>
        </w:rPr>
        <w:t xml:space="preserve">отключен вместо него данные передаются в </w:t>
      </w:r>
      <w:r>
        <w:t>JSON</w:t>
      </w:r>
      <w:r>
        <w:rPr>
          <w:lang w:val="ru-RU"/>
        </w:rPr>
        <w:t>)</w:t>
      </w:r>
    </w:p>
    <w:p w14:paraId="69EB98AE" w14:textId="7365D57A" w:rsidR="00650197" w:rsidRPr="00650197" w:rsidRDefault="00650197">
      <w:pPr>
        <w:rPr>
          <w:lang w:val="ru-RU"/>
        </w:rPr>
      </w:pPr>
      <w:r>
        <w:rPr>
          <w:lang w:val="ru-RU"/>
        </w:rPr>
        <w:t>Тест для 1000 сделок.</w:t>
      </w:r>
    </w:p>
    <w:p w14:paraId="4295BE3F" w14:textId="3493D044" w:rsidR="00650197" w:rsidRDefault="00650197">
      <w:pPr>
        <w:rPr>
          <w:lang w:val="ru-RU"/>
        </w:rPr>
      </w:pPr>
      <w:r w:rsidRPr="00650197">
        <w:drawing>
          <wp:inline distT="0" distB="0" distL="0" distR="0" wp14:anchorId="25A99DFE" wp14:editId="6CC2FA18">
            <wp:extent cx="6152515" cy="262636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6990" w14:textId="648D2C16" w:rsidR="00650197" w:rsidRDefault="00E95D84">
      <w:pPr>
        <w:rPr>
          <w:lang w:val="ru-RU"/>
        </w:rPr>
      </w:pPr>
      <w:r w:rsidRPr="00E95D84">
        <w:rPr>
          <w:lang w:val="ru-RU"/>
        </w:rPr>
        <w:drawing>
          <wp:inline distT="0" distB="0" distL="0" distR="0" wp14:anchorId="16E144FA" wp14:editId="248830BA">
            <wp:extent cx="6152515" cy="61214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D861" w14:textId="45DF49E9" w:rsidR="00E95D84" w:rsidRDefault="006B2A27">
      <w:pPr>
        <w:rPr>
          <w:lang w:val="ru-RU"/>
        </w:rPr>
      </w:pPr>
      <w:r w:rsidRPr="006B2A27">
        <w:rPr>
          <w:lang w:val="ru-RU"/>
        </w:rPr>
        <w:drawing>
          <wp:inline distT="0" distB="0" distL="0" distR="0" wp14:anchorId="22235254" wp14:editId="4D577679">
            <wp:extent cx="6152515" cy="242697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6773" w14:textId="5CDB39CE" w:rsidR="006B2A27" w:rsidRDefault="00201CA3">
      <w:pPr>
        <w:rPr>
          <w:lang w:val="ru-RU"/>
        </w:rPr>
      </w:pPr>
      <w:r w:rsidRPr="00201CA3">
        <w:rPr>
          <w:lang w:val="ru-RU"/>
        </w:rPr>
        <w:drawing>
          <wp:inline distT="0" distB="0" distL="0" distR="0" wp14:anchorId="614587E6" wp14:editId="4D29E73C">
            <wp:extent cx="6152515" cy="63182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B7DB" w14:textId="197C6E7F" w:rsidR="00201CA3" w:rsidRDefault="007A370A">
      <w:pPr>
        <w:rPr>
          <w:lang w:val="ru-RU"/>
        </w:rPr>
      </w:pPr>
      <w:r>
        <w:rPr>
          <w:lang w:val="ru-RU"/>
        </w:rPr>
        <w:t>Сохранил замеры:</w:t>
      </w:r>
    </w:p>
    <w:p w14:paraId="1D6F848C" w14:textId="353CDDC0" w:rsidR="007A370A" w:rsidRDefault="007A370A">
      <w:pPr>
        <w:rPr>
          <w:lang w:val="ru-RU"/>
        </w:rPr>
      </w:pPr>
      <w:r w:rsidRPr="007A370A">
        <w:rPr>
          <w:lang w:val="ru-RU"/>
        </w:rPr>
        <w:lastRenderedPageBreak/>
        <w:drawing>
          <wp:inline distT="0" distB="0" distL="0" distR="0" wp14:anchorId="7B13DC5F" wp14:editId="5A673BDE">
            <wp:extent cx="6152515" cy="2680970"/>
            <wp:effectExtent l="0" t="0" r="63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A0D7" w14:textId="77777777" w:rsidR="007A370A" w:rsidRDefault="007A370A">
      <w:pPr>
        <w:rPr>
          <w:lang w:val="ru-RU"/>
        </w:rPr>
      </w:pPr>
    </w:p>
    <w:p w14:paraId="4FCAE170" w14:textId="2B029E2C" w:rsidR="007A370A" w:rsidRDefault="007A370A">
      <w:pPr>
        <w:rPr>
          <w:lang w:val="ru-RU"/>
        </w:rPr>
      </w:pPr>
      <w:r>
        <w:rPr>
          <w:lang w:val="ru-RU"/>
        </w:rPr>
        <w:t>Анализ результата:</w:t>
      </w:r>
    </w:p>
    <w:p>
      <w:pPr>
        <w:rPr>
          <w:lang w:val="ru-RU"/>
        </w:rPr>
      </w:pPr>
      <w:r>
        <w:rPr>
          <w:b/>
          <w:bCs/>
          <w:lang w:val="ru-RU"/>
        </w:rPr>
        <w:t xml:space="preserve">Результат прогона: </w:t>
      </w:r>
      <w:r>
        <w:rPr>
          <w:lang w:val="ru-RU"/>
        </w:rPr>
        <w:t xml:space="preserve">отправлено 1000 поручений из 1000, отклоненных нет. Ключевая операция "Отправка" - </w:t>
      </w:r>
      <w:r>
        <w:rPr>
          <w:b/>
          <w:bCs/>
          <w:lang w:val="ru-RU"/>
        </w:rPr>
        <w:t xml:space="preserve">58,46 с</w:t>
      </w:r>
      <w:r>
        <w:rPr>
          <w:lang w:val="ru-RU"/>
        </w:rPr>
        <w:t xml:space="preserve">, то есть 58 мс на одно поручение. Время по часам формы обработки (66,1 с) больше ключевой операции: окно ожидания длительной операции опрашивает фоновое задание с растущим интервалом (до 15 с), в блоттере опрос выполняется раз в 1 с. Для оценки используется ключевая операция.</w:t>
      </w:r>
    </w:p>
    <w:p>
      <w:pPr>
        <w:rPr>
          <w:lang w:val="ru-RU"/>
        </w:rPr>
      </w:pPr>
      <w:r>
        <w:rPr>
          <w:lang w:val="ru-RU"/>
        </w:rPr>
        <w:t xml:space="preserve">Подготовка 1000 поручений (161 с) - служебное действие тестовой обработки, которое заменяет проверку лимитов; в отправку и в ключевую операцию не входит.</w:t>
      </w:r>
    </w:p>
    <w:p>
      <w:pPr>
        <w:keepNext/>
        <w:spacing w:before="240" w:after="120"/>
        <w:rPr>
          <w:lang w:val="ru-RU"/>
        </w:rPr>
      </w:pPr>
      <w:r>
        <w:rPr>
          <w:b/>
          <w:bCs/>
          <w:sz w:val="24"/>
          <w:szCs w:val="24"/>
          <w:lang w:val="ru-RU"/>
        </w:rPr>
        <w:t xml:space="preserve">1. Время отправки растет линейно</w:t>
      </w:r>
    </w:p>
    <w:tbl>
      <w:tblPr>
        <w:tblW w:w="8900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4300"/>
        <w:gridCol w:w="2200"/>
        <w:gridCol w:w="2400"/>
      </w:tblGrid>
      <w:tr>
        <w:trPr>
          <w:cantSplit/>
          <w:tblHeader/>
        </w:trPr>
        <w:tc>
          <w:tcPr>
            <w:tcW w:w="4300" w:type="dxa"/>
            <w:shd w:val="clear" w:color="auto" w:fill="D9E2F3"/>
          </w:tcPr>
          <w:p>
            <w:pPr>
              <w:spacing w:after="0" w:line="240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Прогон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Отправка, с</w:t>
            </w:r>
          </w:p>
        </w:tc>
        <w:tc>
          <w:tcPr>
            <w:tcW w:w="2400" w:type="dxa"/>
            <w:shd w:val="clear" w:color="auto" w:fill="D9E2F3"/>
          </w:tcPr>
          <w:p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мс на поручение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Т-1, 21 поручение (12.10, блоттер)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1,93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92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Т-1, 204 поручения (12.10, блоттер)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12,05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59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E2EFDA"/>
          </w:tcPr>
          <w:p>
            <w:pPr>
              <w:spacing w:after="0" w:line="240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Т-1, 1000 поручений (14.10, обработка)</w:t>
            </w:r>
          </w:p>
        </w:tc>
        <w:tc>
          <w:tcPr>
            <w:tcW w:w="2200" w:type="dxa"/>
            <w:shd w:val="clear" w:color="auto" w:fill="E2EFD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58,46</w:t>
            </w:r>
          </w:p>
        </w:tc>
        <w:tc>
          <w:tcPr>
            <w:tcW w:w="2400" w:type="dxa"/>
            <w:shd w:val="clear" w:color="auto" w:fill="E2EFD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58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PROD, модель по замерам сентября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0,6 + 0,045 x N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45</w:t>
            </w:r>
          </w:p>
        </w:tc>
      </w:tr>
    </w:tbl>
    <w:p>
      <w:pPr>
        <w:spacing w:after="120"/>
        <w:rPr>
          <w:lang w:val="ru-RU"/>
        </w:rPr>
      </w:pPr>
    </w:p>
    <w:p>
      <w:pPr>
        <w:rPr>
          <w:lang w:val="ru-RU"/>
        </w:rPr>
      </w:pPr>
      <w:r>
        <w:rPr>
          <w:lang w:val="ru-RU"/>
        </w:rPr>
        <w:t xml:space="preserve">При малом числе поручений заметную долю составляет постоянная часть (запуск фонового задания, проверки перед отправкой); начиная с 200 поручений время на одно поручение не меняется. Т-1 работает на более медленном сервере, на PROD отправка 1000 поручений ожидается около 46 с.</w:t>
      </w:r>
    </w:p>
    <w:p>
      <w:pPr>
        <w:keepNext/>
        <w:spacing w:before="240" w:after="120"/>
        <w:rPr>
          <w:lang w:val="ru-RU"/>
        </w:rPr>
      </w:pPr>
      <w:r>
        <w:rPr>
          <w:b/>
          <w:bCs/>
          <w:sz w:val="24"/>
          <w:szCs w:val="24"/>
          <w:lang w:val="ru-RU"/>
        </w:rPr>
        <w:t xml:space="preserve">2. Из чего складывается отправка 1000 поручений</w:t>
      </w:r>
    </w:p>
    <w:tbl>
      <w:tblPr>
        <w:tblW w:w="8900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/>
      </w:tblPr>
      <w:tblGrid>
        <w:gridCol w:w="6500"/>
        <w:gridCol w:w="1300"/>
        <w:gridCol w:w="1100"/>
      </w:tblGrid>
      <w:tr>
        <w:trPr>
          <w:cantSplit/>
          <w:tblHeader/>
        </w:trPr>
        <w:tc>
          <w:tcPr>
            <w:tcW w:w="6500" w:type="dxa"/>
            <w:shd w:val="clear" w:color="auto" w:fill="D9E2F3"/>
          </w:tcPr>
          <w:p>
            <w:pPr>
              <w:spacing w:after="0" w:line="240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Участок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Время, с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%</w:t>
            </w:r>
          </w:p>
        </w:tc>
      </w:tr>
      <w:tr>
        <w:trPr>
          <w:cantSplit/>
        </w:trPr>
        <w:tc>
          <w:tcPr>
            <w:tcW w:w="6500" w:type="dxa"/>
            <w:shd w:val="clear" w:color="auto" w:fill="EDF2F9"/>
          </w:tcPr>
          <w:p>
            <w:pPr>
              <w:spacing w:after="0" w:line="240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ЗАПИСЬ СТАТУСОВ ПОРУЧЕНИЙ</w:t>
            </w:r>
          </w:p>
        </w:tc>
        <w:tc>
          <w:tcPr>
            <w:tcW w:w="1300" w:type="dxa"/>
            <w:shd w:val="clear" w:color="auto" w:fill="EDF2F9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41,3</w:t>
            </w:r>
          </w:p>
        </w:tc>
        <w:tc>
          <w:tcPr>
            <w:tcW w:w="1100" w:type="dxa"/>
            <w:shd w:val="clear" w:color="auto" w:fill="EDF2F9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71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Запись регистра статусов: "Отправлено, ожидается подтверждение"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24,1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41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Чтение текущей записи статуса поручения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5,0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9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Снятие блокировки поручения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4,6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8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Фиксация транзакции адаптера (одна на все поручения)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4,8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8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Блокировка набора записей, заполнение записи, прочее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2,8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5</w:t>
            </w:r>
          </w:p>
        </w:tc>
      </w:tr>
      <w:tr>
        <w:trPr>
          <w:cantSplit/>
        </w:trPr>
        <w:tc>
          <w:tcPr>
            <w:tcW w:w="6500" w:type="dxa"/>
            <w:shd w:val="clear" w:color="auto" w:fill="EDF2F9"/>
          </w:tcPr>
          <w:p>
            <w:pPr>
              <w:spacing w:after="0" w:line="240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ФОРМИРОВАНИЕ И ПЕРЕДАЧА ПАКЕТА FIX</w:t>
            </w:r>
          </w:p>
        </w:tc>
        <w:tc>
          <w:tcPr>
            <w:tcW w:w="1300" w:type="dxa"/>
            <w:shd w:val="clear" w:color="auto" w:fill="EDF2F9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4,6</w:t>
            </w:r>
          </w:p>
        </w:tc>
        <w:tc>
          <w:tcPr>
            <w:tcW w:w="1100" w:type="dxa"/>
            <w:shd w:val="clear" w:color="auto" w:fill="EDF2F9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8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Сборка сообщений FIX NewOrderSingle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3,8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6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480"/>
              <w:rPr>
                <w:lang w:val="ru-RU"/>
              </w:rPr>
            </w:pPr>
            <w:r>
              <w:rPr>
                <w:lang w:val="ru-RU"/>
              </w:rPr>
              <w:t xml:space="preserve">в том числе контрольная сумма сообщения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2,5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4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Создание структуры сообщения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0,7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1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Сборка пакета из 1000 сообщений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0,1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0,2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Передача пакета (в замере - запись файла вместо HTTP)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0,03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0,1</w:t>
            </w:r>
          </w:p>
        </w:tc>
      </w:tr>
      <w:tr>
        <w:trPr>
          <w:cantSplit/>
        </w:trPr>
        <w:tc>
          <w:tcPr>
            <w:tcW w:w="6500" w:type="dxa"/>
            <w:shd w:val="clear" w:color="auto" w:fill="EDF2F9"/>
          </w:tcPr>
          <w:p>
            <w:pPr>
              <w:spacing w:after="0" w:line="240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ПРОЧЕЕ</w:t>
            </w:r>
          </w:p>
        </w:tc>
        <w:tc>
          <w:tcPr>
            <w:tcW w:w="1300" w:type="dxa"/>
            <w:shd w:val="clear" w:color="auto" w:fill="EDF2F9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12,6</w:t>
            </w:r>
          </w:p>
        </w:tc>
        <w:tc>
          <w:tcPr>
            <w:tcW w:w="1100" w:type="dxa"/>
            <w:shd w:val="clear" w:color="auto" w:fill="EDF2F9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21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Запуск и завершение задания адаптера, накладные расходы замера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7,6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13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Распорядитель: данные поручений, проверки перед отправкой, блокировка, завершение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2,6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4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Задание адаптера: данные поручений, события, завершение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1,7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6500" w:type="dxa"/>
          </w:tcPr>
          <w:p>
            <w:pPr>
              <w:spacing w:after="0" w:line="240" w:lineRule="auto"/>
              <w:ind w:left="200"/>
              <w:rPr>
                <w:lang w:val="ru-RU"/>
              </w:rPr>
            </w:pPr>
            <w:r>
              <w:rPr>
                <w:lang w:val="ru-RU"/>
              </w:rPr>
              <w:t xml:space="preserve">Запуск задания распорядителя, передача результата</w:t>
            </w:r>
          </w:p>
        </w:tc>
        <w:tc>
          <w:tcPr>
            <w:tcW w:w="13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0,7</w:t>
            </w:r>
          </w:p>
        </w:tc>
        <w:tc>
          <w:tcPr>
            <w:tcW w:w="1100" w:type="dx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1</w:t>
            </w:r>
          </w:p>
        </w:tc>
      </w:tr>
      <w:tr>
        <w:trPr>
          <w:cantSplit/>
        </w:trPr>
        <w:tc>
          <w:tcPr>
            <w:tcW w:w="6500" w:type="dxa"/>
            <w:shd w:val="clear" w:color="auto" w:fill="E2EFDA"/>
          </w:tcPr>
          <w:p>
            <w:pPr>
              <w:spacing w:after="0" w:line="240" w:lineRule="auto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ВСЕГО (ключевая операция "Отправка")</w:t>
            </w:r>
          </w:p>
        </w:tc>
        <w:tc>
          <w:tcPr>
            <w:tcW w:w="1300" w:type="dxa"/>
            <w:shd w:val="clear" w:color="auto" w:fill="E2EFD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58,46</w:t>
            </w:r>
          </w:p>
        </w:tc>
        <w:tc>
          <w:tcPr>
            <w:tcW w:w="1100" w:type="dxa"/>
            <w:shd w:val="clear" w:color="auto" w:fill="E2EFDA"/>
          </w:tcPr>
          <w:p>
            <w:pPr>
              <w:spacing w:after="0" w:line="240" w:lineRule="auto"/>
              <w:jc w:val="right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100</w:t>
            </w:r>
          </w:p>
        </w:tc>
      </w:tr>
    </w:tbl>
    <w:p>
      <w:pPr>
        <w:spacing w:after="120"/>
        <w:rPr>
          <w:lang w:val="ru-RU"/>
        </w:rPr>
      </w:pPr>
    </w:p>
    <w:p>
      <w:pPr>
        <w:keepNext/>
        <w:spacing w:before="240" w:after="120"/>
        <w:rPr>
          <w:lang w:val="ru-RU"/>
        </w:rPr>
      </w:pPr>
      <w:r>
        <w:rPr>
          <w:b/>
          <w:bCs/>
          <w:sz w:val="24"/>
          <w:szCs w:val="24"/>
          <w:lang w:val="ru-RU"/>
        </w:rPr>
        <w:t xml:space="preserve">3. Наблюдения</w:t>
      </w:r>
    </w:p>
    <w:p>
      <w:pPr>
        <w:tabs>
          <w:tab w:val="left" w:pos="360"/>
        </w:tabs>
        <w:spacing w:after="80"/>
        <w:ind w:left="360" w:hanging="360"/>
        <w:rPr>
          <w:lang w:val="ru-RU"/>
        </w:rPr>
      </w:pPr>
      <w:r>
        <w:rPr>
          <w:lang w:val="ru-RU"/>
        </w:rPr>
        <w:t xml:space="preserve">•	</w:t>
      </w:r>
      <w:r>
        <w:rPr>
          <w:b/>
          <w:bCs/>
          <w:lang w:val="ru-RU"/>
        </w:rPr>
        <w:t xml:space="preserve">Запись статусов - 71% времени отправки. </w:t>
      </w:r>
      <w:r>
        <w:rPr>
          <w:lang w:val="ru-RU"/>
        </w:rPr>
        <w:t xml:space="preserve">По каждому поручению отдельно пишется регистр статусов, читается предыдущая запись и снимается блокировка поручения: 36,5 мс на поручение, плюс фиксация общей транзакции 4,8 с. Это типовой механизм статусов.</w:t>
      </w:r>
    </w:p>
    <w:p>
      <w:pPr>
        <w:tabs>
          <w:tab w:val="left" w:pos="360"/>
        </w:tabs>
        <w:spacing w:after="80"/>
        <w:ind w:left="360" w:hanging="360"/>
        <w:rPr>
          <w:lang w:val="ru-RU"/>
        </w:rPr>
      </w:pPr>
      <w:r>
        <w:rPr>
          <w:lang w:val="ru-RU"/>
        </w:rPr>
        <w:t xml:space="preserve">•	</w:t>
      </w:r>
      <w:r>
        <w:rPr>
          <w:b/>
          <w:bCs/>
          <w:lang w:val="ru-RU"/>
        </w:rPr>
        <w:t xml:space="preserve">Формирование пакета FIX - 8%. </w:t>
      </w:r>
      <w:r>
        <w:rPr>
          <w:lang w:val="ru-RU"/>
        </w:rPr>
        <w:t xml:space="preserve">Самая затратная часть - посимвольный расчет контрольной суммы (2,5 с); он выполняется 1,56 млн раз в строках кода, поэтому в замере завышен.</w:t>
      </w:r>
    </w:p>
    <w:p>
      <w:pPr>
        <w:tabs>
          <w:tab w:val="left" w:pos="360"/>
        </w:tabs>
        <w:spacing w:after="80"/>
        <w:ind w:left="360" w:hanging="360"/>
        <w:rPr>
          <w:lang w:val="ru-RU"/>
        </w:rPr>
      </w:pPr>
      <w:r>
        <w:rPr>
          <w:lang w:val="ru-RU"/>
        </w:rPr>
        <w:t xml:space="preserve">•	</w:t>
      </w:r>
      <w:r>
        <w:rPr>
          <w:b/>
          <w:bCs/>
          <w:lang w:val="ru-RU"/>
        </w:rPr>
        <w:t xml:space="preserve">Сборка пакета сложением строк на 1000 поручений незаметна (0,1 с). </w:t>
      </w:r>
      <w:r>
        <w:rPr>
          <w:lang w:val="ru-RU"/>
        </w:rPr>
        <w:t xml:space="preserve">Квадратичный рост начинает влиять с 10 000 поручений и более.</w:t>
      </w:r>
    </w:p>
    <w:p>
      <w:pPr>
        <w:tabs>
          <w:tab w:val="left" w:pos="360"/>
        </w:tabs>
        <w:spacing w:after="80"/>
        <w:ind w:left="360" w:hanging="360"/>
        <w:rPr>
          <w:lang w:val="ru-RU"/>
        </w:rPr>
      </w:pPr>
      <w:r>
        <w:rPr>
          <w:lang w:val="ru-RU"/>
        </w:rPr>
        <w:t xml:space="preserve">•	</w:t>
      </w:r>
      <w:r>
        <w:rPr>
          <w:b/>
          <w:bCs/>
          <w:lang w:val="ru-RU"/>
        </w:rPr>
        <w:t xml:space="preserve">Разница 7,6 с </w:t>
      </w:r>
      <w:r>
        <w:rPr>
          <w:lang w:val="ru-RU"/>
        </w:rPr>
        <w:t xml:space="preserve">между ожиданием задания адаптера (55,2 с) и временем его кода (47,6 с) растет с объемом (21 поручение - 0,4 с, 204 - 1,9 с, 1000 - 7,6 с) пропорционально числу выполненных строк кода (3 млн). Это в основном накладные расходы самого замера отладчиком; без замера отправка выполняется быстрее.</w:t>
      </w:r>
    </w:p>
    <w:p>
      <w:pPr>
        <w:tabs>
          <w:tab w:val="left" w:pos="360"/>
        </w:tabs>
        <w:spacing w:after="80"/>
        <w:ind w:left="360" w:hanging="360"/>
        <w:rPr>
          <w:lang w:val="ru-RU"/>
        </w:rPr>
      </w:pPr>
      <w:r>
        <w:rPr>
          <w:lang w:val="ru-RU"/>
        </w:rPr>
        <w:t xml:space="preserve">•	</w:t>
      </w:r>
      <w:r>
        <w:rPr>
          <w:b/>
          <w:bCs/>
          <w:lang w:val="ru-RU"/>
        </w:rPr>
        <w:t xml:space="preserve">Сетевая передача в прогоне не измерялась. </w:t>
      </w:r>
      <w:r>
        <w:rPr>
          <w:lang w:val="ru-RU"/>
        </w:rPr>
        <w:t xml:space="preserve">На PROD это один HTTP-запрос с пакетом на шлюз FIX; по замерам PROD 4 494 поручения отправлялись за 214 с, что укладывается в ту же линейную модель.</w:t>
      </w:r>
    </w:p>
    <w:p>
      <w:pPr>
        <w:spacing w:after="60"/>
        <w:rPr>
          <w:lang w:val="ru-RU"/>
        </w:rPr>
      </w:pPr>
    </w:p>
    <w:p>
      <w:pPr>
        <w:keepNext/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BE9E7"/>
        <w:spacing w:after="80"/>
        <w:ind w:left="120" w:right="120"/>
        <w:rPr>
          <w:lang w:val="ru-RU"/>
        </w:rPr>
      </w:pPr>
      <w:r>
        <w:rPr>
          <w:b/>
          <w:bCs/>
          <w:color w:val="C00000"/>
          <w:sz w:val="26"/>
          <w:szCs w:val="26"/>
          <w:lang w:val="ru-RU"/>
        </w:rPr>
        <w:t xml:space="preserve">ВЫВОД: оптимизацию отправки поручений вносить не требуется.</w:t>
      </w:r>
    </w:p>
    <w:p>
      <w:pPr>
        <w:keepNext/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BE9E7"/>
        <w:spacing w:after="80"/>
        <w:ind w:left="120" w:right="120"/>
        <w:rPr>
          <w:lang w:val="ru-RU"/>
        </w:rPr>
      </w:pPr>
      <w:r>
        <w:rPr>
          <w:b/>
          <w:bCs/>
          <w:lang w:val="ru-RU"/>
        </w:rPr>
        <w:t xml:space="preserve">1. </w:t>
      </w:r>
      <w:r>
        <w:rPr>
          <w:lang w:val="ru-RU"/>
        </w:rPr>
        <w:t xml:space="preserve">Повторный замер на 1000 поручений подтвердил предыдущие результаты: отправка занимает 58 мс на поручение на Т-1 (около 45 мс на PROD), время растет линейно, узких мест с нелинейным ростом на реальных объемах нет.</w:t>
      </w:r>
    </w:p>
    <w:p>
      <w:pPr>
        <w:keepNext/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BE9E7"/>
        <w:spacing w:after="80"/>
        <w:ind w:left="120" w:right="120"/>
        <w:rPr>
          <w:lang w:val="ru-RU"/>
        </w:rPr>
      </w:pPr>
      <w:r>
        <w:rPr>
          <w:b/>
          <w:bCs/>
          <w:lang w:val="ru-RU"/>
        </w:rPr>
        <w:t xml:space="preserve">2. </w:t>
      </w:r>
      <w:r>
        <w:rPr>
          <w:lang w:val="ru-RU"/>
        </w:rPr>
        <w:t xml:space="preserve">71% времени отправки - запись статусов поручений (статус "Отправлено, ожидается подтверждение", снятие блокировки, фиксация транзакции). Это типовой механизм статусов, который по условиям задачи не изменяется; его переработка затрагивает учет статусов каждого поручения и несет риск ошибок в основном бизнес-процессе.</w:t>
      </w:r>
    </w:p>
    <w:p>
      <w:pPr>
        <w:keepNext/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BE9E7"/>
        <w:spacing w:after="80"/>
        <w:ind w:left="120" w:right="120"/>
        <w:rPr>
          <w:lang w:val="ru-RU"/>
        </w:rPr>
      </w:pPr>
      <w:r>
        <w:rPr>
          <w:b/>
          <w:bCs/>
          <w:lang w:val="ru-RU"/>
        </w:rPr>
        <w:t xml:space="preserve">3. </w:t>
      </w:r>
      <w:r>
        <w:rPr>
          <w:lang w:val="ru-RU"/>
        </w:rPr>
        <w:t xml:space="preserve">Доработки, не затрагивающие статусы (быстрая контрольная сумма FIX, сборка пакета без сложения строк, синхронный вызов адаптера), сокращают отправку 1000 поручений на 3-5 с из 58 с (5-9%). На обычной отправке 1-5 поручений (77% случаев на PROD, 0,6-0,8 с) разница для пользователя незаметна.</w:t>
      </w:r>
    </w:p>
    <w:p>
      <w:pPr>
        <w:keepNext/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BE9E7"/>
        <w:spacing w:after="80"/>
        <w:ind w:left="120" w:right="120"/>
        <w:rPr>
          <w:lang w:val="ru-RU"/>
        </w:rPr>
      </w:pPr>
      <w:r>
        <w:rPr>
          <w:b/>
          <w:bCs/>
          <w:lang w:val="ru-RU"/>
        </w:rPr>
        <w:t xml:space="preserve">4. </w:t>
      </w:r>
      <w:r>
        <w:rPr>
          <w:lang w:val="ru-RU"/>
        </w:rPr>
        <w:t xml:space="preserve">При нажатии "Проверить и отправить" отправка - меньшая часть времени: основное время занимает проверка лимитов (78% на 204 поручениях), она оптимизируется в отдельной задаче.</w:t>
      </w:r>
    </w:p>
    <w:p>
      <w:pPr>
        <w:keepNext/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BE9E7"/>
        <w:spacing w:after="80"/>
        <w:ind w:left="120" w:right="120"/>
        <w:rPr>
          <w:lang w:val="ru-RU"/>
        </w:rPr>
      </w:pPr>
      <w:r>
        <w:rPr>
          <w:color w:val="404040"/>
          <w:lang w:val="ru-RU"/>
        </w:rPr>
        <w:t xml:space="preserve">Вернуться к оптимизации отправки имеет смысл, если массовые отправки станут регулярно превышать 10 000 поручений (сборка пакета растет квадратично: 50 000 поручений - плюс около 35 с) или будет принято решение менять механизм записи статусов поручений.</w:t>
      </w:r>
    </w:p>
    <w:sectPr w:rsidR="007A370A" w:rsidRPr="0065019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97"/>
    <w:rsid w:val="00201CA3"/>
    <w:rsid w:val="0057779E"/>
    <w:rsid w:val="00650197"/>
    <w:rsid w:val="006B2A27"/>
    <w:rsid w:val="007A370A"/>
    <w:rsid w:val="008F67FB"/>
    <w:rsid w:val="00CD1BD2"/>
    <w:rsid w:val="00E37D00"/>
    <w:rsid w:val="00E9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EE15"/>
  <w15:chartTrackingRefBased/>
  <w15:docId w15:val="{D2F07845-73C1-40A9-A49B-5FABCAE5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</Words>
  <Characters>183</Characters>
  <Application>Microsoft Office Word</Application>
  <DocSecurity>0</DocSecurity>
  <Lines>1</Lines>
  <Paragraphs>1</Paragraphs>
  <ScaleCrop>false</ScaleCrop>
  <Company>VTB Capital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5</cp:revision>
  <dcterms:created xsi:type="dcterms:W3CDTF">2026-10-14T09:12:00Z</dcterms:created>
  <dcterms:modified xsi:type="dcterms:W3CDTF">2026-10-14T09:26:00Z</dcterms:modified>
</cp:coreProperties>
</file>