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EDE35">
      <w:pPr>
        <w:pStyle w:val="2"/>
      </w:pPr>
      <w:r>
        <w:rPr>
          <w:rFonts w:hint="eastAsia"/>
        </w:rPr>
        <w:t>软件项目可行性分析报告</w:t>
      </w:r>
    </w:p>
    <w:p w14:paraId="6327B489">
      <w:pPr>
        <w:pStyle w:val="80"/>
      </w:pPr>
      <w:r>
        <w:rPr>
          <w:rFonts w:hint="eastAsia"/>
          <w:b/>
          <w:bCs/>
        </w:rPr>
        <w:t>项目名称：</w:t>
      </w:r>
      <w:r>
        <w:t xml:space="preserve"> </w:t>
      </w:r>
      <w:r>
        <w:rPr>
          <w:rFonts w:hint="eastAsia"/>
        </w:rPr>
        <w:t>政明白</w:t>
      </w:r>
      <w:r>
        <w:br w:type="textWrapping"/>
      </w:r>
      <w:r>
        <w:rPr>
          <w:rFonts w:hint="eastAsia"/>
          <w:b/>
          <w:bCs/>
        </w:rPr>
        <w:t>项目小组：</w:t>
      </w:r>
      <w:r>
        <w:t xml:space="preserve"> </w:t>
      </w:r>
      <w:r>
        <w:rPr>
          <w:rFonts w:hint="eastAsia"/>
        </w:rPr>
        <w:t>第六组</w:t>
      </w:r>
      <w:r>
        <w:br w:type="textWrapping"/>
      </w:r>
      <w:r>
        <w:rPr>
          <w:rFonts w:hint="eastAsia"/>
          <w:b/>
          <w:bCs/>
        </w:rPr>
        <w:t>项目经理：</w:t>
      </w:r>
      <w:r>
        <w:t xml:space="preserve"> </w:t>
      </w:r>
      <w:r>
        <w:rPr>
          <w:rFonts w:hint="eastAsia"/>
        </w:rPr>
        <w:t>麦少彤</w:t>
      </w:r>
      <w:r>
        <w:br w:type="textWrapping"/>
      </w:r>
      <w:r>
        <w:rPr>
          <w:rFonts w:hint="eastAsia"/>
          <w:b/>
          <w:bCs/>
        </w:rPr>
        <w:t>小组成员：</w:t>
      </w:r>
      <w:r>
        <w:t xml:space="preserve"> </w:t>
      </w:r>
      <w:r>
        <w:rPr>
          <w:rFonts w:hint="eastAsia"/>
        </w:rPr>
        <w:t>陈梓烽、贺悦洋、黎敬浩</w:t>
      </w:r>
      <w:r>
        <w:br w:type="textWrapping"/>
      </w:r>
      <w:r>
        <w:rPr>
          <w:rFonts w:hint="eastAsia"/>
          <w:b/>
          <w:bCs/>
        </w:rPr>
        <w:t>报告日期：</w:t>
      </w:r>
      <w:r>
        <w:t xml:space="preserve"> </w:t>
      </w:r>
      <w:r>
        <w:rPr>
          <w:rFonts w:hint="eastAsia"/>
        </w:rPr>
        <w:t>2026年9月13日</w:t>
      </w:r>
      <w:r>
        <w:br w:type="textWrapping"/>
      </w:r>
      <w:r>
        <w:rPr>
          <w:rFonts w:hint="eastAsia"/>
          <w:b/>
          <w:bCs/>
        </w:rPr>
        <w:t>文档版本： V1.1</w:t>
      </w:r>
      <w:bookmarkStart w:id="15" w:name="_GoBack"/>
      <w:bookmarkEnd w:id="15"/>
    </w:p>
    <w:p w14:paraId="1864A9B0">
      <w:pPr>
        <w:pStyle w:val="4"/>
      </w:pPr>
      <w:bookmarkStart w:id="0" w:name="X9e0e48bd65310e5622b496d9e969f57a0000021"/>
      <w:r>
        <w:t xml:space="preserve">1. </w:t>
      </w:r>
      <w:r>
        <w:rPr>
          <w:rFonts w:hint="eastAsia"/>
        </w:rPr>
        <w:t>引言</w:t>
      </w:r>
    </w:p>
    <w:p w14:paraId="286E513E">
      <w:pPr>
        <w:pStyle w:val="5"/>
      </w:pPr>
      <w:bookmarkStart w:id="1" w:name="X43afe48af1af0a7dd7a1bd23b11f3dc2a27eb48"/>
      <w:r>
        <w:t xml:space="preserve">1.1 </w:t>
      </w:r>
      <w:r>
        <w:rPr>
          <w:rFonts w:hint="eastAsia"/>
        </w:rPr>
        <w:t>编写目的</w:t>
      </w:r>
    </w:p>
    <w:p w14:paraId="10BFC40C">
      <w:pPr>
        <w:pStyle w:val="80"/>
      </w:pPr>
      <w:r>
        <w:rPr>
          <w:rFonts w:hint="eastAsia"/>
        </w:rPr>
        <w:t>本文档旨在对《政明白》项目进行全面深入的可行性分析，包括技术、经济、操作、法律及社会因素等方面评估，为项目是否正式启动提供决策依据。</w:t>
      </w:r>
    </w:p>
    <w:bookmarkEnd w:id="1"/>
    <w:p w14:paraId="20A4BC91">
      <w:pPr>
        <w:pStyle w:val="5"/>
      </w:pPr>
      <w:bookmarkStart w:id="2" w:name="X5972bffbded7d669e33b19c97c6583ba6345d1f"/>
      <w:r>
        <w:t xml:space="preserve">1.2 </w:t>
      </w:r>
      <w:r>
        <w:rPr>
          <w:rFonts w:hint="eastAsia"/>
        </w:rPr>
        <w:t>项目背景</w:t>
      </w:r>
    </w:p>
    <w:p w14:paraId="144AEB58">
      <w:pPr>
        <w:numPr>
          <w:ilvl w:val="0"/>
          <w:numId w:val="1"/>
        </w:numPr>
      </w:pPr>
      <w:r>
        <w:rPr>
          <w:rFonts w:hint="eastAsia"/>
          <w:b/>
          <w:bCs/>
        </w:rPr>
        <w:t>问题描述：</w:t>
      </w:r>
      <w:r>
        <w:t xml:space="preserve"> </w:t>
      </w:r>
      <w:r>
        <w:rPr>
          <w:rFonts w:hint="eastAsia"/>
        </w:rPr>
        <w:t>群众办理政务事项前需咨询「要什么材料、去哪办、几天办好」，传统方式依赖窗口人工答复或自行翻阅办事指南，存在三类问题：一是办事指南文档冗长（单篇 1,928~45,082 字），查阅成本高；二是同类事项（如个体工商户设立、变更、注销登记）文本高度相似，人工答复易混淆；三是答复口径不统一，影响政务服务标准化水平。</w:t>
      </w:r>
    </w:p>
    <w:p w14:paraId="3492BA75">
      <w:pPr>
        <w:numPr>
          <w:ilvl w:val="0"/>
          <w:numId w:val="1"/>
        </w:numPr>
      </w:pPr>
      <w:r>
        <w:rPr>
          <w:rFonts w:hint="eastAsia"/>
          <w:b/>
          <w:bCs/>
        </w:rPr>
        <w:t>项目发起方：</w:t>
      </w:r>
      <w:r>
        <w:t xml:space="preserve"> </w:t>
      </w:r>
      <w:r>
        <w:rPr>
          <w:rFonts w:hint="eastAsia"/>
        </w:rPr>
        <w:t>软件项目开发实训课程</w:t>
      </w:r>
    </w:p>
    <w:p w14:paraId="6B80151A">
      <w:pPr>
        <w:numPr>
          <w:ilvl w:val="0"/>
          <w:numId w:val="1"/>
        </w:numPr>
      </w:pPr>
      <w:r>
        <w:rPr>
          <w:rFonts w:hint="eastAsia"/>
          <w:b/>
          <w:bCs/>
        </w:rPr>
        <w:t>项目目标：</w:t>
      </w:r>
      <w:r>
        <w:t xml:space="preserve"> </w:t>
      </w:r>
      <w:r>
        <w:rPr>
          <w:rFonts w:hint="eastAsia"/>
        </w:rPr>
        <w:t>构建一个严格依据已入库政务文档作答的检索增强问答（RAG）系统：有依据时输出结论、材料清单、办理流程、受理部门、办结时限、收费标准与溯源信息；无依据时明确拒答并引导至线下窗口或 12345 热线。预期实现域内问题回答准确、域外与未收录问题可靠拒答、单轮响应可控、答案全程可溯源。</w:t>
      </w:r>
    </w:p>
    <w:bookmarkEnd w:id="2"/>
    <w:p w14:paraId="19DFA605">
      <w:pPr>
        <w:pStyle w:val="5"/>
      </w:pPr>
      <w:bookmarkStart w:id="3" w:name="Xe362484fcec67b958583e02dfa0e64e357496b9"/>
      <w:r>
        <w:t xml:space="preserve">1.3 </w:t>
      </w:r>
      <w:r>
        <w:rPr>
          <w:rFonts w:hint="eastAsia"/>
        </w:rPr>
        <w:t>定义与术语</w:t>
      </w:r>
    </w:p>
    <w:tbl>
      <w:tblPr>
        <w:tblStyle w:val="4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7427"/>
      </w:tblGrid>
      <w:tr w14:paraId="487D1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677F90">
            <w:pPr>
              <w:pStyle w:val="81"/>
            </w:pPr>
            <w:r>
              <w:rPr>
                <w:rFonts w:hint="eastAsia"/>
              </w:rPr>
              <w:t>术语/缩写</w:t>
            </w:r>
          </w:p>
        </w:tc>
        <w:tc>
          <w:p w14:paraId="40ECA72F">
            <w:pPr>
              <w:pStyle w:val="81"/>
            </w:pPr>
            <w:r>
              <w:rPr>
                <w:rFonts w:hint="eastAsia"/>
              </w:rPr>
              <w:t>全称/解释</w:t>
            </w:r>
          </w:p>
        </w:tc>
      </w:tr>
      <w:tr w14:paraId="5223C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D872B">
            <w:pPr>
              <w:pStyle w:val="81"/>
            </w:pPr>
            <w:r>
              <w:rPr>
                <w:rFonts w:hint="eastAsia"/>
              </w:rPr>
              <w:t>RAG</w:t>
            </w:r>
          </w:p>
        </w:tc>
        <w:tc>
          <w:p w14:paraId="05248CB7">
            <w:pPr>
              <w:pStyle w:val="81"/>
            </w:pPr>
            <w:r>
              <w:rPr>
                <w:rFonts w:hint="eastAsia"/>
              </w:rPr>
              <w:t>Retrieval-Augmented Generation，检索增强生成：生成答案前先从外部知识库检索相关片段作为上下文，使输出可溯源</w:t>
            </w:r>
          </w:p>
        </w:tc>
      </w:tr>
      <w:tr w14:paraId="0AACE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2A042">
            <w:pPr>
              <w:pStyle w:val="81"/>
            </w:pPr>
            <w:r>
              <w:rPr>
                <w:rFonts w:hint="eastAsia"/>
              </w:rPr>
              <w:t>混合检索</w:t>
            </w:r>
          </w:p>
        </w:tc>
        <w:tc>
          <w:p w14:paraId="4A73E1D8">
            <w:pPr>
              <w:pStyle w:val="81"/>
            </w:pPr>
            <w:r>
              <w:rPr>
                <w:rFonts w:hint="eastAsia"/>
              </w:rPr>
              <w:t>稠密向量检索（语义）与 BM25 稀疏检索（关键词）并行执行后按权重融合，本项目为 0.45×向量分 + 0.55×关键词分</w:t>
            </w:r>
          </w:p>
        </w:tc>
      </w:tr>
      <w:tr w14:paraId="4C9CB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2B6352">
            <w:pPr>
              <w:pStyle w:val="81"/>
            </w:pPr>
            <w:r>
              <w:rPr>
                <w:rFonts w:hint="eastAsia"/>
              </w:rPr>
              <w:t>相关性闸门</w:t>
            </w:r>
          </w:p>
        </w:tc>
        <w:tc>
          <w:p w14:paraId="5F4A0D65">
            <w:pPr>
              <w:pStyle w:val="81"/>
            </w:pPr>
            <w:r>
              <w:rPr>
                <w:rFonts w:hint="eastAsia"/>
              </w:rPr>
              <w:t>检索之后、生成之前的判定环节：向量分 ≥0.45 方予放行，或关键词分 ≥44.3 且融合分 ≥0.62，未通过则直接拒答且不调用大模型</w:t>
            </w:r>
          </w:p>
        </w:tc>
      </w:tr>
      <w:tr w14:paraId="0FF93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D5BED">
            <w:pPr>
              <w:pStyle w:val="81"/>
            </w:pPr>
            <w:r>
              <w:t>Embedding</w:t>
            </w:r>
          </w:p>
        </w:tc>
        <w:tc>
          <w:p w14:paraId="1EAE3B66">
            <w:pPr>
              <w:pStyle w:val="81"/>
            </w:pPr>
            <w:r>
              <w:rPr>
                <w:rFonts w:hint="eastAsia"/>
              </w:rPr>
              <w:t>文本向量化模型；本项目使用通义 qwen3.7-text-embedding-flash，输出 1024 维向量</w:t>
            </w:r>
          </w:p>
        </w:tc>
      </w:tr>
      <w:tr w14:paraId="6B207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C0DE7">
            <w:pPr>
              <w:pStyle w:val="81"/>
            </w:pPr>
            <w:r>
              <w:rPr>
                <w:rFonts w:hint="eastAsia"/>
              </w:rPr>
              <w:t>静默失败</w:t>
            </w:r>
          </w:p>
        </w:tc>
        <w:tc>
          <w:p w14:paraId="0A44891F">
            <w:pPr>
              <w:pStyle w:val="81"/>
            </w:pPr>
            <w:r>
              <w:rPr>
                <w:rFonts w:hint="eastAsia"/>
              </w:rPr>
              <w:t>系统不抛异常、响应状态正常，但输出内容为空、不完整或指向错误事项的一类缺陷</w:t>
            </w:r>
          </w:p>
        </w:tc>
      </w:tr>
      <w:bookmarkEnd w:id="3"/>
    </w:tbl>
    <w:p w14:paraId="35A4EADB">
      <w:pPr>
        <w:pStyle w:val="5"/>
      </w:pPr>
      <w:bookmarkStart w:id="4" w:name="X51b3f9595a2896014fb941064e9c5e6e4458b21"/>
      <w:r>
        <w:t xml:space="preserve">1.4 </w:t>
      </w:r>
      <w:r>
        <w:rPr>
          <w:rFonts w:hint="eastAsia"/>
        </w:rPr>
        <w:t>参考资料</w:t>
      </w:r>
    </w:p>
    <w:p w14:paraId="217F8819">
      <w:pPr>
        <w:numPr>
          <w:ilvl w:val="0"/>
          <w:numId w:val="2"/>
        </w:numPr>
      </w:pPr>
      <w:r>
        <w:rPr>
          <w:rFonts w:hint="eastAsia"/>
        </w:rPr>
        <w:t>《软件工程与项目案例教程》，梁立新、郭锐，清华大学出版社</w:t>
      </w:r>
    </w:p>
    <w:p w14:paraId="31774095">
      <w:pPr>
        <w:numPr>
          <w:ilvl w:val="0"/>
          <w:numId w:val="2"/>
        </w:numPr>
      </w:pPr>
      <w:r>
        <w:rPr>
          <w:rFonts w:hint="eastAsia"/>
        </w:rPr>
        <w:t>本项目开发任务书</w:t>
      </w:r>
    </w:p>
    <w:p w14:paraId="7EDD522B">
      <w:pPr>
        <w:numPr>
          <w:ilvl w:val="0"/>
          <w:numId w:val="2"/>
        </w:numPr>
      </w:pPr>
      <w:r>
        <w:rPr>
          <w:rFonts w:hint="eastAsia"/>
        </w:rPr>
        <w:t>《国务院关于加强数字政府建设的指导意见》（国发〔2022〕14 号）；广东政务服务网办事指南（https://www.gdzwfw.gov.cn/）；阿里云百炼大模型服务平台技术文档（https://help.aliyun.com/zh/model-studio/）</w:t>
      </w:r>
    </w:p>
    <w:bookmarkEnd w:id="0"/>
    <w:bookmarkEnd w:id="4"/>
    <w:p w14:paraId="6F5D964E">
      <w:pPr>
        <w:pStyle w:val="4"/>
      </w:pPr>
      <w:bookmarkStart w:id="5" w:name="X20a281d4d8859ed12c62628407741b59324ef08"/>
      <w:r>
        <w:t xml:space="preserve">2. </w:t>
      </w:r>
      <w:r>
        <w:rPr>
          <w:rFonts w:hint="eastAsia"/>
        </w:rPr>
        <w:t>项目概述</w:t>
      </w:r>
    </w:p>
    <w:p w14:paraId="5AB274C4">
      <w:pPr>
        <w:pStyle w:val="5"/>
      </w:pPr>
      <w:bookmarkStart w:id="6" w:name="X079f84654fe8fc51d48e91a093355ad5d5e77a9"/>
      <w:r>
        <w:t xml:space="preserve">2.1 </w:t>
      </w:r>
      <w:r>
        <w:rPr>
          <w:rFonts w:hint="eastAsia"/>
        </w:rPr>
        <w:t>项目目标与范围</w:t>
      </w:r>
    </w:p>
    <w:p w14:paraId="0F4B0757">
      <w:pPr>
        <w:pStyle w:val="80"/>
      </w:pPr>
      <w:r>
        <w:rPr>
          <w:rFonts w:hint="eastAsia"/>
          <w:b/>
          <w:bCs/>
        </w:rPr>
        <w:t>核心功能：</w:t>
      </w:r>
    </w:p>
    <w:p w14:paraId="63DB3E28">
      <w:pPr>
        <w:numPr>
          <w:ilvl w:val="0"/>
          <w:numId w:val="1"/>
        </w:numPr>
      </w:pPr>
      <w:r>
        <w:rPr>
          <w:rFonts w:hint="eastAsia"/>
        </w:rPr>
        <w:t>政务事项问答：依据语料输出结构化办事材料清单（必备/可选材料、流程步骤、温馨提示）</w:t>
      </w:r>
    </w:p>
    <w:p w14:paraId="365907BE">
      <w:pPr>
        <w:numPr>
          <w:ilvl w:val="0"/>
          <w:numId w:val="1"/>
        </w:numPr>
      </w:pPr>
      <w:r>
        <w:rPr>
          <w:rFonts w:hint="eastAsia"/>
        </w:rPr>
        <w:t>答案溯源：给出命中文档名称、章节与相似度评分，供用户核验</w:t>
      </w:r>
    </w:p>
    <w:p w14:paraId="0AC90F2D">
      <w:pPr>
        <w:numPr>
          <w:ilvl w:val="0"/>
          <w:numId w:val="1"/>
        </w:numPr>
      </w:pPr>
      <w:r>
        <w:rPr>
          <w:rFonts w:hint="eastAsia"/>
        </w:rPr>
        <w:t>相关性闸门：域外问题与未收录事项在检索阶段即被拦截，不进入生成环节</w:t>
      </w:r>
    </w:p>
    <w:p w14:paraId="75CECD07">
      <w:pPr>
        <w:pStyle w:val="80"/>
      </w:pPr>
      <w:r>
        <w:rPr>
          <w:rFonts w:hint="eastAsia"/>
          <w:b/>
          <w:bCs/>
        </w:rPr>
        <w:t>非核心功能/未来考虑：</w:t>
      </w:r>
    </w:p>
    <w:p w14:paraId="4957C58A">
      <w:pPr>
        <w:numPr>
          <w:ilvl w:val="0"/>
          <w:numId w:val="1"/>
        </w:numPr>
      </w:pPr>
      <w:r>
        <w:rPr>
          <w:rFonts w:hint="eastAsia"/>
        </w:rPr>
        <w:t>多轮会话：历史写入 PostgreSQL、上下文裁剪、会话切换与历史回放</w:t>
      </w:r>
    </w:p>
    <w:p w14:paraId="1ADF7A3D">
      <w:pPr>
        <w:numPr>
          <w:ilvl w:val="0"/>
          <w:numId w:val="1"/>
        </w:numPr>
      </w:pPr>
      <w:r>
        <w:rPr>
          <w:rFonts w:hint="eastAsia"/>
        </w:rPr>
        <w:t>语料增量导入与定期更新机制、用户反馈闭环、前端流式输出、统一政务事项数据源接入</w:t>
      </w:r>
    </w:p>
    <w:p w14:paraId="502EED1E">
      <w:pPr>
        <w:pStyle w:val="80"/>
      </w:pPr>
      <w:r>
        <w:rPr>
          <w:rFonts w:hint="eastAsia"/>
          <w:b/>
          <w:bCs/>
        </w:rPr>
        <w:t>排除范围：</w:t>
      </w:r>
    </w:p>
    <w:p w14:paraId="3AADCB50">
      <w:pPr>
        <w:numPr>
          <w:ilvl w:val="0"/>
          <w:numId w:val="1"/>
        </w:numPr>
      </w:pPr>
      <w:r>
        <w:rPr>
          <w:rFonts w:hint="eastAsia"/>
        </w:rPr>
        <w:t>不提供在线申报与审批办理；不接入统一政务事项数据源（语料为人工获取）；不做用户身份认证与电子证照核验；不覆盖全国范围事项，仅限已入库的广东政务事项</w:t>
      </w:r>
    </w:p>
    <w:bookmarkEnd w:id="6"/>
    <w:p w14:paraId="274B03C2">
      <w:pPr>
        <w:pStyle w:val="5"/>
      </w:pPr>
      <w:bookmarkStart w:id="7" w:name="X96026615b41a993e69fe5f5ca8d8d4a18d206b8"/>
      <w:r>
        <w:t xml:space="preserve">2.2 </w:t>
      </w:r>
      <w:r>
        <w:rPr>
          <w:rFonts w:hint="eastAsia"/>
        </w:rPr>
        <w:t>项目假设与约束</w:t>
      </w:r>
    </w:p>
    <w:p w14:paraId="5A80244C">
      <w:pPr>
        <w:pStyle w:val="80"/>
      </w:pPr>
      <w:r>
        <w:rPr>
          <w:rFonts w:hint="eastAsia"/>
          <w:b/>
          <w:bCs/>
        </w:rPr>
        <w:t>假设条件：</w:t>
      </w:r>
    </w:p>
    <w:p w14:paraId="11CB4AAD">
      <w:pPr>
        <w:numPr>
          <w:ilvl w:val="0"/>
          <w:numId w:val="1"/>
        </w:numPr>
      </w:pPr>
      <w:r>
        <w:rPr>
          <w:rFonts w:hint="eastAsia"/>
        </w:rPr>
        <w:t>办事指南以公开 PDF 形式获取，内容准确且具备时效性</w:t>
      </w:r>
    </w:p>
    <w:p w14:paraId="4712F2A2">
      <w:pPr>
        <w:numPr>
          <w:ilvl w:val="0"/>
          <w:numId w:val="1"/>
        </w:numPr>
      </w:pPr>
      <w:r>
        <w:rPr>
          <w:rFonts w:hint="eastAsia"/>
        </w:rPr>
        <w:t>大模型服务（DashScope）与向量库（Milvus）可持续访问，API 额度充足</w:t>
      </w:r>
    </w:p>
    <w:p w14:paraId="7AA47567">
      <w:pPr>
        <w:pStyle w:val="80"/>
      </w:pPr>
      <w:r>
        <w:rPr>
          <w:rFonts w:hint="eastAsia"/>
          <w:b/>
          <w:bCs/>
        </w:rPr>
        <w:t>约束条件：</w:t>
      </w:r>
    </w:p>
    <w:p w14:paraId="41FEF00E">
      <w:pPr>
        <w:numPr>
          <w:ilvl w:val="0"/>
          <w:numId w:val="1"/>
        </w:numPr>
      </w:pPr>
      <w:r>
        <w:rPr>
          <w:rFonts w:hint="eastAsia"/>
          <w:b/>
          <w:bCs/>
        </w:rPr>
        <w:t>工期约束：</w:t>
      </w:r>
      <w:r>
        <w:t xml:space="preserve"> </w:t>
      </w:r>
      <w:r>
        <w:rPr>
          <w:rFonts w:hint="eastAsia"/>
        </w:rPr>
        <w:t>2026 年 9 月 13 日（课程实训周期）</w:t>
      </w:r>
    </w:p>
    <w:p w14:paraId="43370478">
      <w:pPr>
        <w:numPr>
          <w:ilvl w:val="0"/>
          <w:numId w:val="1"/>
        </w:numPr>
      </w:pPr>
      <w:r>
        <w:rPr>
          <w:rFonts w:hint="eastAsia"/>
          <w:b/>
          <w:bCs/>
        </w:rPr>
        <w:t>技术约束：</w:t>
      </w:r>
      <w:r>
        <w:t xml:space="preserve"> </w:t>
      </w:r>
      <w:r>
        <w:rPr>
          <w:rFonts w:hint="eastAsia"/>
        </w:rPr>
        <w:t>Python 3.12 + FastAPI + Vue 3；Milvus 向量库（1024 维）；PostgreSQL 16；DashScope 兼容模式大模型接口</w:t>
      </w:r>
    </w:p>
    <w:p w14:paraId="456D9F7E">
      <w:pPr>
        <w:numPr>
          <w:ilvl w:val="0"/>
          <w:numId w:val="1"/>
        </w:numPr>
      </w:pPr>
      <w:r>
        <w:rPr>
          <w:rFonts w:hint="eastAsia"/>
          <w:b/>
          <w:bCs/>
        </w:rPr>
        <w:t>资源约束：</w:t>
      </w:r>
      <w:r>
        <w:t xml:space="preserve"> </w:t>
      </w:r>
      <w:r>
        <w:rPr>
          <w:rFonts w:hint="eastAsia"/>
        </w:rPr>
        <w:t>4 人小组（1 名项目经理 + 3 名成员）；开发环境为 Windows + Docker Desktop；使用云端大模型 API，无本地 GPU</w:t>
      </w:r>
    </w:p>
    <w:p w14:paraId="08327449">
      <w:pPr>
        <w:numPr>
          <w:ilvl w:val="0"/>
          <w:numId w:val="1"/>
        </w:numPr>
      </w:pPr>
      <w:r>
        <w:rPr>
          <w:rFonts w:hint="eastAsia"/>
          <w:b/>
          <w:bCs/>
        </w:rPr>
        <w:t>其他约束：</w:t>
      </w:r>
      <w:r>
        <w:t xml:space="preserve"> </w:t>
      </w:r>
      <w:r>
        <w:rPr>
          <w:rFonts w:hint="eastAsia"/>
        </w:rPr>
        <w:t>语料 32 篇广东政务办事指南（254,658 字 / 841 个片段）且分布仍不均（前 3 篇占 39%），未收录事项只能拒答</w:t>
      </w:r>
    </w:p>
    <w:bookmarkEnd w:id="5"/>
    <w:bookmarkEnd w:id="7"/>
    <w:p w14:paraId="18005DEA">
      <w:pPr>
        <w:pStyle w:val="4"/>
      </w:pPr>
      <w:bookmarkStart w:id="8" w:name="X35f52063664ae5809cd223005b8d391b2937732"/>
      <w:r>
        <w:t xml:space="preserve">3. </w:t>
      </w:r>
      <w:r>
        <w:rPr>
          <w:rFonts w:hint="eastAsia"/>
        </w:rPr>
        <w:t>可行性分析</w:t>
      </w:r>
    </w:p>
    <w:p w14:paraId="46E5426F">
      <w:pPr>
        <w:pStyle w:val="5"/>
      </w:pPr>
      <w:bookmarkStart w:id="9" w:name="Xfb15d5ca7c8f49a187f2dd808485390b7f47089"/>
      <w:r>
        <w:t xml:space="preserve">3.1 </w:t>
      </w:r>
      <w:r>
        <w:rPr>
          <w:rFonts w:hint="eastAsia"/>
        </w:rPr>
        <w:t>技术可行性</w:t>
      </w:r>
    </w:p>
    <w:p w14:paraId="1A6DC2F0">
      <w:pPr>
        <w:pStyle w:val="80"/>
      </w:pPr>
      <w:r>
        <w:rPr>
          <w:rFonts w:hint="eastAsia"/>
          <w:b/>
          <w:bCs/>
        </w:rPr>
        <w:t>关键技术点：</w:t>
      </w:r>
    </w:p>
    <w:p w14:paraId="6FE54085">
      <w:pPr>
        <w:numPr>
          <w:ilvl w:val="0"/>
          <w:numId w:val="1"/>
        </w:numPr>
      </w:pPr>
      <w:r>
        <w:rPr>
          <w:rFonts w:hint="eastAsia"/>
        </w:rPr>
        <w:t>混合检索：Milvus 向量近似最近邻检索 + BM25 关键词检索并行，按 0.45×向量分 + 0.55×关键词分融合排序；闸门判定另用未经融合的绝对分</w:t>
      </w:r>
    </w:p>
    <w:p w14:paraId="437F4005">
      <w:pPr>
        <w:numPr>
          <w:ilvl w:val="0"/>
          <w:numId w:val="1"/>
        </w:numPr>
      </w:pPr>
      <w:r>
        <w:rPr>
          <w:rFonts w:hint="eastAsia"/>
        </w:rPr>
        <w:t>意图感知重排与结构化章节补全：按问题意图对材料/流程/时限章节加权、依据类章节降权；对长章节定向取回（fetch_section）并在结果合并后补全，只补不换</w:t>
      </w:r>
    </w:p>
    <w:p w14:paraId="53779B9D">
      <w:pPr>
        <w:pStyle w:val="80"/>
      </w:pPr>
      <w:r>
        <w:rPr>
          <w:rFonts w:hint="eastAsia"/>
          <w:b/>
          <w:bCs/>
        </w:rPr>
        <w:t>技术选型与评估：</w:t>
      </w:r>
    </w:p>
    <w:p w14:paraId="2F25E256">
      <w:pPr>
        <w:numPr>
          <w:ilvl w:val="0"/>
          <w:numId w:val="1"/>
        </w:numPr>
      </w:pPr>
      <w:r>
        <w:rPr>
          <w:rFonts w:hint="eastAsia"/>
          <w:b/>
          <w:bCs/>
        </w:rPr>
        <w:t>前端：</w:t>
      </w:r>
      <w:r>
        <w:t xml:space="preserve"> </w:t>
      </w:r>
      <w:r>
        <w:rPr>
          <w:rFonts w:hint="eastAsia"/>
        </w:rPr>
        <w:t>Vue 3 + Vite + Nginx</w:t>
      </w:r>
      <w:r>
        <w:t xml:space="preserve"> - </w:t>
      </w:r>
      <w:r>
        <w:rPr>
          <w:rFonts w:hint="eastAsia"/>
        </w:rPr>
        <w:t>组件化开发效率高，容器化静态部署，Nginx 反向代理 /api 转发</w:t>
      </w:r>
    </w:p>
    <w:p w14:paraId="0B3BC430">
      <w:pPr>
        <w:numPr>
          <w:ilvl w:val="0"/>
          <w:numId w:val="1"/>
        </w:numPr>
      </w:pPr>
      <w:r>
        <w:rPr>
          <w:rFonts w:hint="eastAsia"/>
          <w:b/>
          <w:bCs/>
        </w:rPr>
        <w:t>后端：</w:t>
      </w:r>
      <w:r>
        <w:t xml:space="preserve"> </w:t>
      </w:r>
      <w:r>
        <w:rPr>
          <w:rFonts w:hint="eastAsia"/>
        </w:rPr>
        <w:t>FastAPI + Uvicorn</w:t>
      </w:r>
      <w:r>
        <w:t xml:space="preserve"> - </w:t>
      </w:r>
      <w:r>
        <w:rPr>
          <w:rFonts w:hint="eastAsia"/>
        </w:rPr>
        <w:t>异步高并发，自带 /docs 接口文档，便于联调与验收</w:t>
      </w:r>
    </w:p>
    <w:p w14:paraId="04A5CF90">
      <w:pPr>
        <w:numPr>
          <w:ilvl w:val="0"/>
          <w:numId w:val="1"/>
        </w:numPr>
      </w:pPr>
      <w:r>
        <w:rPr>
          <w:rFonts w:hint="eastAsia"/>
          <w:b/>
          <w:bCs/>
        </w:rPr>
        <w:t>数据库：</w:t>
      </w:r>
      <w:r>
        <w:t xml:space="preserve"> </w:t>
      </w:r>
      <w:r>
        <w:rPr>
          <w:rFonts w:hint="eastAsia"/>
        </w:rPr>
        <w:t>PostgreSQL 16 + Milvus 2.x</w:t>
      </w:r>
      <w:r>
        <w:t xml:space="preserve"> - </w:t>
      </w:r>
      <w:r>
        <w:rPr>
          <w:rFonts w:hint="eastAsia"/>
        </w:rPr>
        <w:t>关系库存会话与历史，向量库做 ANN 检索（841 片段 / 1024 维），维度不符时自动重建</w:t>
      </w:r>
    </w:p>
    <w:p w14:paraId="60362CB3">
      <w:pPr>
        <w:numPr>
          <w:ilvl w:val="0"/>
          <w:numId w:val="1"/>
        </w:numPr>
      </w:pPr>
      <w:r>
        <w:rPr>
          <w:rFonts w:hint="eastAsia"/>
          <w:b/>
          <w:bCs/>
        </w:rPr>
        <w:t>部署：</w:t>
      </w:r>
      <w:r>
        <w:t xml:space="preserve"> </w:t>
      </w:r>
      <w:r>
        <w:rPr>
          <w:rFonts w:hint="eastAsia"/>
        </w:rPr>
        <w:t>Docker Compose（两套编排）</w:t>
      </w:r>
      <w:r>
        <w:t xml:space="preserve"> - </w:t>
      </w:r>
      <w:r>
        <w:rPr>
          <w:rFonts w:hint="eastAsia"/>
        </w:rPr>
        <w:t>完整栈与复用宿主服务两种形态，一键启停，实测后端约 20 秒转 healthy</w:t>
      </w:r>
    </w:p>
    <w:p w14:paraId="2C5EA5E1">
      <w:pPr>
        <w:pStyle w:val="80"/>
      </w:pPr>
      <w:r>
        <w:rPr>
          <w:rFonts w:hint="eastAsia"/>
          <w:b/>
          <w:bCs/>
        </w:rPr>
        <w:t>技术风险评估与对策：</w:t>
      </w:r>
    </w:p>
    <w:p w14:paraId="377580BF">
      <w:pPr>
        <w:numPr>
          <w:ilvl w:val="0"/>
          <w:numId w:val="1"/>
        </w:numPr>
      </w:pPr>
      <w:r>
        <w:rPr>
          <w:rFonts w:hint="eastAsia"/>
          <w:b/>
          <w:bCs/>
        </w:rPr>
        <w:t>风险： 语料覆盖仍有限（32 个事项），未收录事项只能拒答；扩容语料后边界值漂移（域外最高关键词分由 35.23 漂至 42.86），沿用旧阈值会漏放</w:t>
      </w:r>
    </w:p>
    <w:p w14:paraId="0292F244">
      <w:pPr>
        <w:numPr>
          <w:ilvl w:val="0"/>
          <w:numId w:val="1"/>
        </w:numPr>
      </w:pPr>
      <w:r>
        <w:rPr>
          <w:rFonts w:hint="eastAsia"/>
          <w:b/>
          <w:bCs/>
        </w:rPr>
        <w:t>对策：</w:t>
      </w:r>
      <w:r>
        <w:t xml:space="preserve"> </w:t>
      </w:r>
      <w:r>
        <w:rPr>
          <w:rFonts w:hint="eastAsia"/>
        </w:rPr>
        <w:t>语料处理链路已跑通（单篇约 20 分钟，支持 ingest.py --file 增量导入）；更换模型或向量库后用 scripts/calibrate_gate.py 重新联合标定闸门阈值</w:t>
      </w:r>
    </w:p>
    <w:p w14:paraId="2BF233BB">
      <w:pPr>
        <w:pStyle w:val="80"/>
      </w:pPr>
      <w:r>
        <w:rPr>
          <w:rFonts w:hint="eastAsia"/>
          <w:b/>
          <w:bCs/>
        </w:rPr>
        <w:t>结论：</w:t>
      </w:r>
      <w:r>
        <w:t xml:space="preserve"> </w:t>
      </w:r>
      <w:r>
        <w:rPr>
          <w:rFonts w:hint="eastAsia"/>
        </w:rPr>
        <w:t>可行。回归评测 34 例全部通过（域内 18/18、易混淆事项 3/3、数值精确 4/4、领域内未收录 4/4、域外 5/5）；单元测试 124 项全绿（116 项纯离线）</w:t>
      </w:r>
    </w:p>
    <w:bookmarkEnd w:id="9"/>
    <w:p w14:paraId="5992829F">
      <w:pPr>
        <w:pStyle w:val="5"/>
      </w:pPr>
      <w:bookmarkStart w:id="10" w:name="X52012350dedd79f9b8a6fbe23f011501d6e3352"/>
      <w:r>
        <w:t xml:space="preserve">3.2 </w:t>
      </w:r>
      <w:r>
        <w:rPr>
          <w:rFonts w:hint="eastAsia"/>
        </w:rPr>
        <w:t>经济可行性</w:t>
      </w:r>
    </w:p>
    <w:p w14:paraId="0C65B8B2">
      <w:pPr>
        <w:pStyle w:val="80"/>
      </w:pPr>
      <w:r>
        <w:rPr>
          <w:rFonts w:hint="eastAsia"/>
          <w:b/>
          <w:bCs/>
        </w:rPr>
        <w:t>成本估算：</w:t>
      </w:r>
    </w:p>
    <w:p w14:paraId="17ACF506">
      <w:pPr>
        <w:numPr>
          <w:ilvl w:val="0"/>
          <w:numId w:val="1"/>
        </w:numPr>
      </w:pPr>
      <w:r>
        <w:rPr>
          <w:rFonts w:hint="eastAsia"/>
          <w:b/>
          <w:bCs/>
        </w:rPr>
        <w:t>人力成本：</w:t>
      </w:r>
      <w:r>
        <w:t xml:space="preserve"> </w:t>
      </w:r>
      <w:r>
        <w:rPr>
          <w:rFonts w:hint="eastAsia"/>
        </w:rPr>
        <w:t>4 人 × 课程实训周期；其中语料建设单篇约 20 分钟（含人工核对），32 篇合计约 11 小时；系统开发与缺陷调试为主要投入</w:t>
      </w:r>
    </w:p>
    <w:p w14:paraId="557738AD">
      <w:pPr>
        <w:numPr>
          <w:ilvl w:val="0"/>
          <w:numId w:val="1"/>
        </w:numPr>
      </w:pPr>
      <w:r>
        <w:rPr>
          <w:rFonts w:hint="eastAsia"/>
          <w:b/>
          <w:bCs/>
        </w:rPr>
        <w:t>软硬件成本：</w:t>
      </w:r>
      <w:r>
        <w:t xml:space="preserve"> </w:t>
      </w:r>
      <w:r>
        <w:rPr>
          <w:rFonts w:hint="eastAsia"/>
        </w:rPr>
        <w:t>模型调用按量计费：单轮 1 次 Embedding + 1 次生成，输入约 2.3k tokens、输出约 0.3k tokens；约 31% 的查询被闸门前置拦截，不产生模型调用。服务端为本地 Docker 容器，无额外硬件采购</w:t>
      </w:r>
    </w:p>
    <w:p w14:paraId="08004F74">
      <w:pPr>
        <w:pStyle w:val="80"/>
      </w:pPr>
      <w:r>
        <w:rPr>
          <w:rFonts w:hint="eastAsia"/>
          <w:b/>
          <w:bCs/>
        </w:rPr>
        <w:t>效益分析：</w:t>
      </w:r>
    </w:p>
    <w:p w14:paraId="31005E43">
      <w:pPr>
        <w:numPr>
          <w:ilvl w:val="0"/>
          <w:numId w:val="1"/>
        </w:numPr>
      </w:pPr>
      <w:r>
        <w:rPr>
          <w:rFonts w:hint="eastAsia"/>
          <w:b/>
          <w:bCs/>
        </w:rPr>
        <w:t>有形效益：</w:t>
      </w:r>
      <w:r>
        <w:t xml:space="preserve"> </w:t>
      </w:r>
      <w:r>
        <w:rPr>
          <w:rFonts w:hint="eastAsia"/>
        </w:rPr>
        <w:t>减少窗口人工咨询与重复答复工时；单轮成本处于分厘量级，万次问答成本远低于一名窗口人员单日人力成本</w:t>
      </w:r>
    </w:p>
    <w:p w14:paraId="5603C13A">
      <w:pPr>
        <w:numPr>
          <w:ilvl w:val="0"/>
          <w:numId w:val="1"/>
        </w:numPr>
      </w:pPr>
      <w:r>
        <w:rPr>
          <w:rFonts w:hint="eastAsia"/>
          <w:b/>
          <w:bCs/>
        </w:rPr>
        <w:t>无形效益：</w:t>
      </w:r>
      <w:r>
        <w:t xml:space="preserve"> </w:t>
      </w:r>
      <w:r>
        <w:rPr>
          <w:rFonts w:hint="eastAsia"/>
        </w:rPr>
        <w:t>答复口径统一、避免群众因材料清单错误多次往返、提升政务服务数字化水平与群众满意度</w:t>
      </w:r>
    </w:p>
    <w:p w14:paraId="7F00C014">
      <w:pPr>
        <w:pStyle w:val="80"/>
      </w:pPr>
      <w:r>
        <w:rPr>
          <w:rFonts w:hint="eastAsia"/>
          <w:b/>
          <w:bCs/>
        </w:rPr>
        <w:t>结论：</w:t>
      </w:r>
      <w:r>
        <w:t xml:space="preserve"> </w:t>
      </w:r>
      <w:r>
        <w:rPr>
          <w:rFonts w:hint="eastAsia"/>
        </w:rPr>
        <w:t>可行。成本与查询量线性相关且单位成本极低，主要投入为语料建设人力</w:t>
      </w:r>
    </w:p>
    <w:bookmarkEnd w:id="10"/>
    <w:p w14:paraId="2F2D2D0D">
      <w:pPr>
        <w:pStyle w:val="5"/>
      </w:pPr>
      <w:bookmarkStart w:id="11" w:name="Xa4af2a04abed2c292d2f125e48c112eb93f8d50"/>
      <w:r>
        <w:t xml:space="preserve">3.3 </w:t>
      </w:r>
      <w:r>
        <w:rPr>
          <w:rFonts w:hint="eastAsia"/>
        </w:rPr>
        <w:t>操作可行性</w:t>
      </w:r>
    </w:p>
    <w:p w14:paraId="1EFBE87B">
      <w:pPr>
        <w:pStyle w:val="80"/>
      </w:pPr>
      <w:r>
        <w:rPr>
          <w:rFonts w:hint="eastAsia"/>
          <w:b/>
          <w:bCs/>
        </w:rPr>
        <w:t>运行环境：</w:t>
      </w:r>
      <w:r>
        <w:t xml:space="preserve"> </w:t>
      </w:r>
      <w:r>
        <w:rPr>
          <w:rFonts w:hint="eastAsia"/>
        </w:rPr>
        <w:t>Windows + Docker Desktop；提供完整栈与复用宿主 PostgreSQL / Milvus 两套 Compose 编排，一键启停，实测后端约 20 秒转 healthy</w:t>
      </w:r>
      <w:r>
        <w:t xml:space="preserve"> </w:t>
      </w:r>
      <w:r>
        <w:rPr>
          <w:rFonts w:hint="eastAsia"/>
          <w:b/>
          <w:bCs/>
        </w:rPr>
        <w:t>用户适用性：</w:t>
      </w:r>
      <w:r>
        <w:t xml:space="preserve"> </w:t>
      </w:r>
      <w:r>
        <w:rPr>
          <w:rFonts w:hint="eastAsia"/>
        </w:rPr>
        <w:t>网页端自然语言提问，无需培训；单轮响应 7~17 秒，被闸门拦截时 0.3~0.4 秒</w:t>
      </w:r>
      <w:r>
        <w:t xml:space="preserve"> </w:t>
      </w:r>
      <w:r>
        <w:rPr>
          <w:rFonts w:hint="eastAsia"/>
          <w:b/>
          <w:bCs/>
        </w:rPr>
        <w:t>维护性：</w:t>
      </w:r>
      <w:r>
        <w:t xml:space="preserve"> </w:t>
      </w:r>
      <w:r>
        <w:rPr>
          <w:rFonts w:hint="eastAsia"/>
        </w:rPr>
        <w:t>/api/health 一键查看链路状态；scripts/check_env.py 五步自检；任一外部依赖缺失自动降级（SQLite + 内存向量库 + 抽取式生成），不影响启动</w:t>
      </w:r>
      <w:r>
        <w:t xml:space="preserve"> </w:t>
      </w:r>
      <w:r>
        <w:rPr>
          <w:rFonts w:hint="eastAsia"/>
          <w:b/>
          <w:bCs/>
        </w:rPr>
        <w:t>结论：</w:t>
      </w:r>
      <w:r>
        <w:t xml:space="preserve"> </w:t>
      </w:r>
      <w:r>
        <w:rPr>
          <w:rFonts w:hint="eastAsia"/>
        </w:rPr>
        <w:t>可行</w:t>
      </w:r>
    </w:p>
    <w:bookmarkEnd w:id="11"/>
    <w:p w14:paraId="279206B1">
      <w:pPr>
        <w:pStyle w:val="5"/>
      </w:pPr>
      <w:bookmarkStart w:id="12" w:name="X53d63ead425defa716d934dff70bfe2d5d8e45b"/>
      <w:r>
        <w:t xml:space="preserve">3.4 </w:t>
      </w:r>
      <w:r>
        <w:rPr>
          <w:rFonts w:hint="eastAsia"/>
        </w:rPr>
        <w:t>法律与社会可行性</w:t>
      </w:r>
    </w:p>
    <w:p w14:paraId="0C7B705D">
      <w:pPr>
        <w:pStyle w:val="80"/>
      </w:pPr>
      <w:r>
        <w:rPr>
          <w:rFonts w:hint="eastAsia"/>
          <w:b/>
          <w:bCs/>
        </w:rPr>
        <w:t>版权/许可：</w:t>
      </w:r>
      <w:r>
        <w:t xml:space="preserve"> </w:t>
      </w:r>
      <w:r>
        <w:rPr>
          <w:rFonts w:hint="eastAsia"/>
        </w:rPr>
        <w:t>办事指南均取自广东政务服务网等公开渠道，仅用于检索与引用并标注出处；系统代码自研，第三方依赖均为开源许可组件</w:t>
      </w:r>
      <w:r>
        <w:t xml:space="preserve"> </w:t>
      </w:r>
      <w:r>
        <w:rPr>
          <w:rFonts w:hint="eastAsia"/>
          <w:b/>
          <w:bCs/>
        </w:rPr>
        <w:t>隐私与安全：</w:t>
      </w:r>
      <w:r>
        <w:t xml:space="preserve"> </w:t>
      </w:r>
      <w:r>
        <w:rPr>
          <w:rFonts w:hint="eastAsia"/>
        </w:rPr>
        <w:t>会话数据存储于本地 PostgreSQL，不外传；建议后续评估脱敏与留存策略</w:t>
      </w:r>
      <w:r>
        <w:t xml:space="preserve"> </w:t>
      </w:r>
      <w:r>
        <w:rPr>
          <w:rFonts w:hint="eastAsia"/>
          <w:b/>
          <w:bCs/>
        </w:rPr>
        <w:t>社会影响：</w:t>
      </w:r>
      <w:r>
        <w:t xml:space="preserve"> </w:t>
      </w:r>
      <w:r>
        <w:rPr>
          <w:rFonts w:hint="eastAsia"/>
        </w:rPr>
        <w:t>降低群众获取政务信息的成本、减少窗口往返、促进答复口径标准化；潜在风险为未收录事项拒答带来的体验损失，已通过 12345 引导话术缓解</w:t>
      </w:r>
      <w:r>
        <w:t xml:space="preserve"> </w:t>
      </w:r>
      <w:r>
        <w:rPr>
          <w:rFonts w:hint="eastAsia"/>
          <w:b/>
          <w:bCs/>
        </w:rPr>
        <w:t>结论：</w:t>
      </w:r>
      <w:r>
        <w:t xml:space="preserve"> </w:t>
      </w:r>
      <w:r>
        <w:rPr>
          <w:rFonts w:hint="eastAsia"/>
        </w:rPr>
        <w:t>可行，建议补充一次数据合规评审</w:t>
      </w:r>
    </w:p>
    <w:bookmarkEnd w:id="8"/>
    <w:bookmarkEnd w:id="12"/>
    <w:p w14:paraId="3E3203E4">
      <w:pPr>
        <w:pStyle w:val="4"/>
      </w:pPr>
      <w:bookmarkStart w:id="13" w:name="Xc4de2a16d64b41279d5bd962301f4e4e9bdb34b"/>
      <w:r>
        <w:t xml:space="preserve">4. </w:t>
      </w:r>
      <w:r>
        <w:rPr>
          <w:rFonts w:hint="eastAsia"/>
        </w:rPr>
        <w:t>备选方案分析</w:t>
      </w:r>
    </w:p>
    <w:p w14:paraId="2480528B">
      <w:pPr>
        <w:pStyle w:val="80"/>
      </w:pPr>
      <w:r>
        <w:rPr>
          <w:rFonts w:hint="eastAsia"/>
          <w:b/>
          <w:bCs/>
        </w:rPr>
        <w:t>方案A：</w:t>
      </w:r>
      <w:r>
        <w:t xml:space="preserve"> </w:t>
      </w:r>
      <w:r>
        <w:rPr>
          <w:rFonts w:hint="eastAsia"/>
        </w:rPr>
        <w:t>直接调用通用大语言模型问答，不做检索增强，依靠模型参数化知识作答</w:t>
      </w:r>
    </w:p>
    <w:p w14:paraId="5765608E">
      <w:pPr>
        <w:numPr>
          <w:ilvl w:val="0"/>
          <w:numId w:val="1"/>
        </w:numPr>
      </w:pPr>
      <w:r>
        <w:rPr>
          <w:rFonts w:hint="eastAsia"/>
        </w:rPr>
        <w:t>优点：实现简单，无需建设语料与向量库；响应速度快</w:t>
      </w:r>
    </w:p>
    <w:p w14:paraId="01377595">
      <w:pPr>
        <w:numPr>
          <w:ilvl w:val="0"/>
          <w:numId w:val="1"/>
        </w:numPr>
      </w:pPr>
      <w:r>
        <w:rPr>
          <w:rFonts w:hint="eastAsia"/>
        </w:rPr>
        <w:t>缺点：存在幻觉风险，政务场景下可能给出错误材料清单导致群众白跑；答案不可溯源；知识时效性无法保证</w:t>
      </w:r>
    </w:p>
    <w:p w14:paraId="6FA4465B">
      <w:pPr>
        <w:pStyle w:val="80"/>
      </w:pPr>
      <w:r>
        <w:rPr>
          <w:rFonts w:hint="eastAsia"/>
          <w:b/>
          <w:bCs/>
        </w:rPr>
        <w:t>方案B：</w:t>
      </w:r>
      <w:r>
        <w:t xml:space="preserve"> </w:t>
      </w:r>
      <w:r>
        <w:rPr>
          <w:rFonts w:hint="eastAsia"/>
        </w:rPr>
        <w:t>检索增强生成（RAG）+ 相关性闸门 + 严格拒答机制（本系统采用）</w:t>
      </w:r>
    </w:p>
    <w:p w14:paraId="1E8070BF">
      <w:pPr>
        <w:numPr>
          <w:ilvl w:val="0"/>
          <w:numId w:val="1"/>
        </w:numPr>
      </w:pPr>
      <w:r>
        <w:rPr>
          <w:rFonts w:hint="eastAsia"/>
        </w:rPr>
        <w:t>优点：答案有依据、可溯源；无据时明确拒答，规避幻觉；域外与未收录问题不消耗模型调用（约 31%）</w:t>
      </w:r>
    </w:p>
    <w:p w14:paraId="48A567DA">
      <w:pPr>
        <w:numPr>
          <w:ilvl w:val="0"/>
          <w:numId w:val="1"/>
        </w:numPr>
      </w:pPr>
      <w:r>
        <w:rPr>
          <w:rFonts w:hint="eastAsia"/>
        </w:rPr>
        <w:t>缺点：需建设与维护语料；检索链路复杂，存在静默失败风险；单轮响应 7~17 秒偏慢</w:t>
      </w:r>
    </w:p>
    <w:p w14:paraId="6883D6E1">
      <w:pPr>
        <w:pStyle w:val="80"/>
      </w:pPr>
      <w:r>
        <w:rPr>
          <w:rFonts w:hint="eastAsia"/>
          <w:b/>
          <w:bCs/>
        </w:rPr>
        <w:t>推荐方案：</w:t>
      </w:r>
      <w:r>
        <w:t xml:space="preserve"> </w:t>
      </w:r>
      <w:r>
        <w:rPr>
          <w:rFonts w:hint="eastAsia"/>
        </w:rPr>
        <w:t>推荐方案 B。政务场景对准确性与可追溯性的要求高于响应速度与实现简易度；实测 34/34 通过、124 项测试全绿，约 31% 的查询不产生模型调用，成本可控</w:t>
      </w:r>
    </w:p>
    <w:bookmarkEnd w:id="13"/>
    <w:p w14:paraId="7892FE71">
      <w:pPr>
        <w:pStyle w:val="4"/>
      </w:pPr>
      <w:bookmarkStart w:id="14" w:name="X3957d01a17034455e5d77b30e869e4a4128b87c"/>
      <w:r>
        <w:t xml:space="preserve">5. </w:t>
      </w:r>
      <w:r>
        <w:rPr>
          <w:rFonts w:hint="eastAsia"/>
        </w:rPr>
        <w:t>结论与建议</w:t>
      </w:r>
    </w:p>
    <w:p w14:paraId="3B671BAA">
      <w:pPr>
        <w:pStyle w:val="80"/>
      </w:pPr>
      <w:r>
        <w:rPr>
          <w:rFonts w:hint="eastAsia"/>
          <w:b/>
          <w:bCs/>
        </w:rPr>
        <w:t>综合评价：</w:t>
      </w:r>
      <w:r>
        <w:t xml:space="preserve"> </w:t>
      </w:r>
      <w:r>
        <w:rPr>
          <w:rFonts w:hint="eastAsia"/>
        </w:rPr>
        <w:t>技术、经济、操作、法律与社会四个维度均通过论证：回归评测 34/34 通过，单元测试 124 项全绿，两套 Docker 编排一键部署，外部依赖缺失时自动降级</w:t>
      </w:r>
      <w:r>
        <w:t xml:space="preserve"> </w:t>
      </w:r>
      <w:r>
        <w:rPr>
          <w:rFonts w:hint="eastAsia"/>
          <w:b/>
          <w:bCs/>
        </w:rPr>
        <w:t>主要风险：</w:t>
      </w:r>
      <w:r>
        <w:t xml:space="preserve"> </w:t>
      </w:r>
      <w:r>
        <w:rPr>
          <w:rFonts w:hint="eastAsia"/>
        </w:rPr>
        <w:t>语料覆盖 32 个事项但分布仍不均（前 3 篇占 39% 片段），是当前最大约束；其次为大模型输出波动、API 额度依赖、语料内容过期</w:t>
      </w:r>
      <w:r>
        <w:t xml:space="preserve"> </w:t>
      </w:r>
      <w:r>
        <w:rPr>
          <w:rFonts w:hint="eastAsia"/>
          <w:b/>
          <w:bCs/>
        </w:rPr>
        <w:t>建议：</w:t>
      </w:r>
      <w:r>
        <w:t xml:space="preserve"> </w:t>
      </w:r>
    </w:p>
    <w:p w14:paraId="24DCCA6E">
      <w:pPr>
        <w:numPr>
          <w:ilvl w:val="0"/>
          <w:numId w:val="1"/>
        </w:numPr>
      </w:pPr>
      <w:r>
        <w:rPr>
          <w:rFonts w:hint="eastAsia"/>
        </w:rPr>
        <w:t>✅ 建议立项</w:t>
      </w:r>
    </w:p>
    <w:p w14:paraId="34DB85E0">
      <w:pPr>
        <w:numPr>
          <w:ilvl w:val="0"/>
          <w:numId w:val="1"/>
        </w:numPr>
      </w:pPr>
      <w:r>
        <w:rPr>
          <w:rFonts w:hint="eastAsia"/>
        </w:rPr>
        <w:t>建议进入小范围试点：选取 1~2 个高频事项领域（如个体工商户登记、居住证业务）扩充至该领域全量事项，同步建立语料定期更新机制，在真实用户反馈验证后再逐步推广</w:t>
      </w:r>
    </w:p>
    <w:bookmarkEnd w:id="14"/>
    <w:p w14:paraId="2500A674">
      <w:pPr>
        <w:pStyle w:val="4"/>
      </w:pPr>
      <w:r>
        <w:t xml:space="preserve">6. </w:t>
      </w:r>
      <w:r>
        <w:rPr>
          <w:rFonts w:hint="eastAsia"/>
        </w:rPr>
        <w:t>审批意见</w:t>
      </w:r>
    </w:p>
    <w:tbl>
      <w:tblPr>
        <w:tblStyle w:val="4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841"/>
        <w:gridCol w:w="696"/>
        <w:gridCol w:w="1707"/>
        <w:gridCol w:w="696"/>
      </w:tblGrid>
      <w:tr w14:paraId="364FD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7CC832">
            <w:pPr>
              <w:pStyle w:val="81"/>
            </w:pPr>
            <w:r>
              <w:rPr>
                <w:rFonts w:hint="eastAsia"/>
              </w:rPr>
              <w:t>角色</w:t>
            </w:r>
          </w:p>
        </w:tc>
        <w:tc>
          <w:p w14:paraId="1B595608">
            <w:pPr>
              <w:pStyle w:val="81"/>
            </w:pPr>
            <w:r>
              <w:rPr>
                <w:rFonts w:hint="eastAsia"/>
              </w:rPr>
              <w:t>姓名</w:t>
            </w:r>
          </w:p>
        </w:tc>
        <w:tc>
          <w:p w14:paraId="10BDA40E">
            <w:pPr>
              <w:pStyle w:val="81"/>
            </w:pPr>
            <w:r>
              <w:rPr>
                <w:rFonts w:hint="eastAsia"/>
              </w:rPr>
              <w:t>签字</w:t>
            </w:r>
          </w:p>
        </w:tc>
        <w:tc>
          <w:p w14:paraId="099E160C">
            <w:pPr>
              <w:pStyle w:val="81"/>
            </w:pPr>
            <w:r>
              <w:rPr>
                <w:rFonts w:hint="eastAsia"/>
              </w:rPr>
              <w:t>日期</w:t>
            </w:r>
          </w:p>
        </w:tc>
        <w:tc>
          <w:p w14:paraId="06FE800A">
            <w:pPr>
              <w:pStyle w:val="81"/>
            </w:pPr>
            <w:r>
              <w:rPr>
                <w:rFonts w:hint="eastAsia"/>
              </w:rPr>
              <w:t>意见</w:t>
            </w:r>
          </w:p>
        </w:tc>
      </w:tr>
      <w:tr w14:paraId="1A9EC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768F95">
            <w:pPr>
              <w:pStyle w:val="81"/>
            </w:pPr>
            <w:r>
              <w:rPr>
                <w:rFonts w:hint="eastAsia"/>
              </w:rPr>
              <w:t>项目经理</w:t>
            </w:r>
          </w:p>
        </w:tc>
        <w:tc>
          <w:p w14:paraId="0E17BE66">
            <w:pPr>
              <w:pStyle w:val="81"/>
            </w:pPr>
            <w:r>
              <w:rPr>
                <w:rFonts w:hint="eastAsia"/>
              </w:rPr>
              <w:t>[姓名]</w:t>
            </w:r>
          </w:p>
        </w:tc>
        <w:tc>
          <w:p w14:paraId="4B87EF61">
            <w:pPr>
              <w:pStyle w:val="81"/>
            </w:pPr>
          </w:p>
        </w:tc>
        <w:tc>
          <w:p w14:paraId="3116E94C">
            <w:pPr>
              <w:pStyle w:val="81"/>
            </w:pPr>
            <w:r>
              <w:t>YYYY-MM-DD</w:t>
            </w:r>
          </w:p>
        </w:tc>
        <w:tc>
          <w:p w14:paraId="7280BE4F">
            <w:pPr>
              <w:pStyle w:val="81"/>
            </w:pPr>
          </w:p>
        </w:tc>
      </w:tr>
      <w:tr w14:paraId="4BA9D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498DC0">
            <w:pPr>
              <w:pStyle w:val="81"/>
            </w:pPr>
            <w:r>
              <w:rPr>
                <w:rFonts w:hint="eastAsia"/>
              </w:rPr>
              <w:t>审查人</w:t>
            </w:r>
          </w:p>
        </w:tc>
        <w:tc>
          <w:p w14:paraId="59F559C9">
            <w:pPr>
              <w:pStyle w:val="81"/>
            </w:pPr>
            <w:r>
              <w:rPr>
                <w:rFonts w:hint="eastAsia"/>
              </w:rPr>
              <w:t>[姓名]</w:t>
            </w:r>
          </w:p>
        </w:tc>
        <w:tc>
          <w:p w14:paraId="15806134">
            <w:pPr>
              <w:pStyle w:val="81"/>
            </w:pPr>
          </w:p>
        </w:tc>
        <w:tc>
          <w:p w14:paraId="00F3A8E2">
            <w:pPr>
              <w:pStyle w:val="81"/>
            </w:pPr>
            <w:r>
              <w:t>YYYY-MM-DD</w:t>
            </w:r>
          </w:p>
        </w:tc>
        <w:tc>
          <w:p w14:paraId="3C83A021">
            <w:pPr>
              <w:pStyle w:val="81"/>
            </w:pPr>
          </w:p>
        </w:tc>
      </w:tr>
      <w:tr w14:paraId="46E2A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00606C">
            <w:pPr>
              <w:pStyle w:val="81"/>
            </w:pPr>
            <w:r>
              <w:rPr>
                <w:rFonts w:hint="eastAsia"/>
              </w:rPr>
              <w:t>指导老师</w:t>
            </w:r>
          </w:p>
        </w:tc>
        <w:tc>
          <w:p w14:paraId="444A8B8B">
            <w:pPr>
              <w:pStyle w:val="81"/>
            </w:pPr>
            <w:r>
              <w:rPr>
                <w:rFonts w:hint="eastAsia"/>
              </w:rPr>
              <w:t>[姓名]</w:t>
            </w:r>
          </w:p>
        </w:tc>
        <w:tc>
          <w:p w14:paraId="00B94388">
            <w:pPr>
              <w:pStyle w:val="81"/>
            </w:pPr>
          </w:p>
        </w:tc>
        <w:tc>
          <w:p w14:paraId="6D599AB5">
            <w:pPr>
              <w:pStyle w:val="81"/>
            </w:pPr>
            <w:r>
              <w:t>YYYY-MM-DD</w:t>
            </w:r>
          </w:p>
        </w:tc>
        <w:tc>
          <w:p w14:paraId="29C94292">
            <w:pPr>
              <w:pStyle w:val="81"/>
            </w:pPr>
          </w:p>
        </w:tc>
      </w:tr>
    </w:tbl>
    <w:p w14:paraId="21960A5D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B706E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4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5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4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6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6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5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6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6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character" w:customStyle="1" w:styleId="23">
    <w:name w:val="RegionMarkerTok"/>
    <w:basedOn w:val="24"/>
    <w:uiPriority w:val="0"/>
  </w:style>
  <w:style w:type="character" w:customStyle="1" w:styleId="24">
    <w:name w:val="Verbatim Char"/>
    <w:basedOn w:val="21"/>
    <w:uiPriority w:val="0"/>
    <w:rPr>
      <w:rFonts w:ascii="Consolas" w:hAnsi="Consolas"/>
      <w:sz w:val="22"/>
    </w:rPr>
  </w:style>
  <w:style w:type="character" w:customStyle="1" w:styleId="25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6">
    <w:name w:val="ExtensionTok"/>
    <w:basedOn w:val="24"/>
    <w:uiPriority w:val="0"/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character" w:customStyle="1" w:styleId="28">
    <w:name w:val="SpecialCharTok"/>
    <w:basedOn w:val="24"/>
    <w:uiPriority w:val="0"/>
    <w:rPr>
      <w:color w:val="4070A0"/>
    </w:rPr>
  </w:style>
  <w:style w:type="character" w:customStyle="1" w:styleId="29">
    <w:name w:val="DecValTok"/>
    <w:basedOn w:val="24"/>
    <w:uiPriority w:val="0"/>
    <w:rPr>
      <w:color w:val="40A070"/>
    </w:rPr>
  </w:style>
  <w:style w:type="character" w:customStyle="1" w:styleId="30">
    <w:name w:val="KeywordTok"/>
    <w:basedOn w:val="24"/>
    <w:qFormat/>
    <w:uiPriority w:val="0"/>
    <w:rPr>
      <w:b/>
      <w:color w:val="007020"/>
    </w:rPr>
  </w:style>
  <w:style w:type="character" w:customStyle="1" w:styleId="31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2">
    <w:name w:val="NormalTok"/>
    <w:basedOn w:val="24"/>
    <w:uiPriority w:val="0"/>
  </w:style>
  <w:style w:type="character" w:customStyle="1" w:styleId="33">
    <w:name w:val="PreprocessorTok"/>
    <w:basedOn w:val="24"/>
    <w:qFormat/>
    <w:uiPriority w:val="0"/>
    <w:rPr>
      <w:color w:val="BC7A00"/>
    </w:rPr>
  </w:style>
  <w:style w:type="character" w:customStyle="1" w:styleId="34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35">
    <w:name w:val="Figure"/>
    <w:basedOn w:val="1"/>
    <w:uiPriority w:val="0"/>
  </w:style>
  <w:style w:type="character" w:customStyle="1" w:styleId="36">
    <w:name w:val="Section Number"/>
    <w:basedOn w:val="21"/>
    <w:uiPriority w:val="0"/>
  </w:style>
  <w:style w:type="paragraph" w:customStyle="1" w:styleId="37">
    <w:name w:val="Source Code"/>
    <w:basedOn w:val="1"/>
    <w:uiPriority w:val="0"/>
    <w:pPr>
      <w:wordWrap w:val="0"/>
    </w:pPr>
  </w:style>
  <w:style w:type="character" w:customStyle="1" w:styleId="38">
    <w:name w:val="AlertTok"/>
    <w:basedOn w:val="24"/>
    <w:uiPriority w:val="0"/>
    <w:rPr>
      <w:b/>
      <w:color w:val="FF0000"/>
    </w:rPr>
  </w:style>
  <w:style w:type="paragraph" w:customStyle="1" w:styleId="39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WarningTok"/>
    <w:basedOn w:val="24"/>
    <w:uiPriority w:val="0"/>
    <w:rPr>
      <w:b/>
      <w:i/>
      <w:color w:val="60A0B0"/>
    </w:rPr>
  </w:style>
  <w:style w:type="paragraph" w:customStyle="1" w:styleId="42">
    <w:name w:val="Captioned Figure"/>
    <w:basedOn w:val="35"/>
    <w:uiPriority w:val="0"/>
    <w:pPr>
      <w:keepNext/>
    </w:pPr>
  </w:style>
  <w:style w:type="character" w:customStyle="1" w:styleId="43">
    <w:name w:val="StringTok"/>
    <w:basedOn w:val="24"/>
    <w:uiPriority w:val="0"/>
    <w:rPr>
      <w:color w:val="4070A0"/>
    </w:rPr>
  </w:style>
  <w:style w:type="character" w:customStyle="1" w:styleId="44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5">
    <w:name w:val="OtherTok"/>
    <w:basedOn w:val="24"/>
    <w:uiPriority w:val="0"/>
    <w:rPr>
      <w:color w:val="007020"/>
    </w:rPr>
  </w:style>
  <w:style w:type="paragraph" w:customStyle="1" w:styleId="46">
    <w:name w:val="Image Caption"/>
    <w:basedOn w:val="12"/>
    <w:uiPriority w:val="0"/>
  </w:style>
  <w:style w:type="character" w:customStyle="1" w:styleId="47">
    <w:name w:val="OperatorTok"/>
    <w:basedOn w:val="24"/>
    <w:uiPriority w:val="0"/>
    <w:rPr>
      <w:color w:val="666666"/>
    </w:rPr>
  </w:style>
  <w:style w:type="character" w:customStyle="1" w:styleId="48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49">
    <w:name w:val="AnnotationTok"/>
    <w:basedOn w:val="24"/>
    <w:uiPriority w:val="0"/>
    <w:rPr>
      <w:b/>
      <w:i/>
      <w:color w:val="60A0B0"/>
    </w:rPr>
  </w:style>
  <w:style w:type="paragraph" w:customStyle="1" w:styleId="50">
    <w:name w:val="Table Caption"/>
    <w:basedOn w:val="12"/>
    <w:uiPriority w:val="0"/>
    <w:pPr>
      <w:keepNext/>
    </w:pPr>
  </w:style>
  <w:style w:type="character" w:customStyle="1" w:styleId="51">
    <w:name w:val="DataTypeTok"/>
    <w:basedOn w:val="24"/>
    <w:uiPriority w:val="0"/>
    <w:rPr>
      <w:color w:val="902000"/>
    </w:rPr>
  </w:style>
  <w:style w:type="character" w:customStyle="1" w:styleId="52">
    <w:name w:val="CommentVarTok"/>
    <w:basedOn w:val="24"/>
    <w:uiPriority w:val="0"/>
    <w:rPr>
      <w:b/>
      <w:i/>
      <w:color w:val="60A0B0"/>
    </w:rPr>
  </w:style>
  <w:style w:type="character" w:customStyle="1" w:styleId="53">
    <w:name w:val="ImportTok"/>
    <w:basedOn w:val="24"/>
    <w:uiPriority w:val="0"/>
    <w:rPr>
      <w:b/>
      <w:color w:val="008000"/>
    </w:rPr>
  </w:style>
  <w:style w:type="paragraph" w:customStyle="1" w:styleId="54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6">
    <w:name w:val="FloatTok"/>
    <w:basedOn w:val="24"/>
    <w:uiPriority w:val="0"/>
    <w:rPr>
      <w:color w:val="40A070"/>
    </w:rPr>
  </w:style>
  <w:style w:type="character" w:customStyle="1" w:styleId="57">
    <w:name w:val="VariableTok"/>
    <w:basedOn w:val="24"/>
    <w:uiPriority w:val="0"/>
    <w:rPr>
      <w:color w:val="19177C"/>
    </w:rPr>
  </w:style>
  <w:style w:type="character" w:customStyle="1" w:styleId="58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59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paragraph" w:customStyle="1" w:styleId="60">
    <w:name w:val="Definition Term"/>
    <w:basedOn w:val="1"/>
    <w:next w:val="61"/>
    <w:uiPriority w:val="0"/>
    <w:pPr>
      <w:keepNext/>
      <w:keepLines/>
      <w:spacing w:after="0"/>
    </w:pPr>
    <w:rPr>
      <w:b/>
    </w:rPr>
  </w:style>
  <w:style w:type="paragraph" w:customStyle="1" w:styleId="61">
    <w:name w:val="Definition"/>
    <w:basedOn w:val="1"/>
    <w:uiPriority w:val="0"/>
  </w:style>
  <w:style w:type="character" w:customStyle="1" w:styleId="62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63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paragraph" w:customStyle="1" w:styleId="64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character" w:customStyle="1" w:styleId="6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6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67">
    <w:name w:val="AttributeTok"/>
    <w:basedOn w:val="24"/>
    <w:uiPriority w:val="0"/>
    <w:rPr>
      <w:color w:val="7D9029"/>
    </w:rPr>
  </w:style>
  <w:style w:type="character" w:customStyle="1" w:styleId="68">
    <w:name w:val="ConstantTok"/>
    <w:basedOn w:val="24"/>
    <w:uiPriority w:val="0"/>
    <w:rPr>
      <w:color w:val="880000"/>
    </w:rPr>
  </w:style>
  <w:style w:type="character" w:customStyle="1" w:styleId="69">
    <w:name w:val="DocumentationTok"/>
    <w:basedOn w:val="24"/>
    <w:uiPriority w:val="0"/>
    <w:rPr>
      <w:i/>
      <w:color w:val="BA2121"/>
    </w:rPr>
  </w:style>
  <w:style w:type="character" w:customStyle="1" w:styleId="70">
    <w:name w:val="FunctionTok"/>
    <w:basedOn w:val="24"/>
    <w:uiPriority w:val="0"/>
    <w:rPr>
      <w:color w:val="06287E"/>
    </w:rPr>
  </w:style>
  <w:style w:type="character" w:customStyle="1" w:styleId="71">
    <w:name w:val="BaseNTok"/>
    <w:basedOn w:val="24"/>
    <w:uiPriority w:val="0"/>
    <w:rPr>
      <w:color w:val="40A070"/>
    </w:rPr>
  </w:style>
  <w:style w:type="character" w:customStyle="1" w:styleId="72">
    <w:name w:val="CommentTok"/>
    <w:basedOn w:val="24"/>
    <w:uiPriority w:val="0"/>
    <w:rPr>
      <w:i/>
      <w:color w:val="60A0B0"/>
    </w:rPr>
  </w:style>
  <w:style w:type="paragraph" w:customStyle="1" w:styleId="73">
    <w:name w:val="Bibliography"/>
    <w:basedOn w:val="1"/>
    <w:qFormat/>
    <w:uiPriority w:val="0"/>
  </w:style>
  <w:style w:type="character" w:customStyle="1" w:styleId="74">
    <w:name w:val="InformationTok"/>
    <w:basedOn w:val="24"/>
    <w:uiPriority w:val="0"/>
    <w:rPr>
      <w:b/>
      <w:i/>
      <w:color w:val="60A0B0"/>
    </w:rPr>
  </w:style>
  <w:style w:type="character" w:customStyle="1" w:styleId="75">
    <w:name w:val="ErrorTok"/>
    <w:basedOn w:val="24"/>
    <w:uiPriority w:val="0"/>
    <w:rPr>
      <w:b/>
      <w:color w:val="FF0000"/>
    </w:rPr>
  </w:style>
  <w:style w:type="character" w:customStyle="1" w:styleId="76">
    <w:name w:val="VerbatimStringTok"/>
    <w:basedOn w:val="24"/>
    <w:uiPriority w:val="0"/>
    <w:rPr>
      <w:color w:val="4070A0"/>
    </w:rPr>
  </w:style>
  <w:style w:type="character" w:customStyle="1" w:styleId="77">
    <w:name w:val="CharTok"/>
    <w:basedOn w:val="24"/>
    <w:uiPriority w:val="0"/>
    <w:rPr>
      <w:color w:val="4070A0"/>
    </w:rPr>
  </w:style>
  <w:style w:type="character" w:customStyle="1" w:styleId="78">
    <w:name w:val="SpecialStringTok"/>
    <w:basedOn w:val="24"/>
    <w:uiPriority w:val="0"/>
    <w:rPr>
      <w:color w:val="BB6688"/>
    </w:rPr>
  </w:style>
  <w:style w:type="character" w:customStyle="1" w:styleId="79">
    <w:name w:val="BuiltInTok"/>
    <w:basedOn w:val="24"/>
    <w:uiPriority w:val="0"/>
    <w:rPr>
      <w:color w:val="008000"/>
    </w:rPr>
  </w:style>
  <w:style w:type="paragraph" w:customStyle="1" w:styleId="80">
    <w:name w:val="First Paragraph"/>
    <w:basedOn w:val="3"/>
    <w:next w:val="3"/>
    <w:qFormat/>
    <w:uiPriority w:val="0"/>
  </w:style>
  <w:style w:type="paragraph" w:customStyle="1" w:styleId="81">
    <w:name w:val="Compact"/>
    <w:basedOn w:val="3"/>
    <w:qFormat/>
    <w:uiPriority w:val="0"/>
    <w:pPr>
      <w:spacing w:before="36" w:after="36"/>
    </w:pPr>
  </w:style>
  <w:style w:type="character" w:customStyle="1" w:styleId="82">
    <w:name w:val="ControlFlowTok"/>
    <w:basedOn w:val="24"/>
    <w:uiPriority w:val="0"/>
    <w:rPr>
      <w:b/>
      <w:color w:val="0070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2942</Words>
  <Characters>3652</Characters>
  <TotalTime>0</TotalTime>
  <ScaleCrop>false</ScaleCrop>
  <LinksUpToDate>false</LinksUpToDate>
  <CharactersWithSpaces>3915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2026-09-15T14:44:00Z</dcterms:created>
  <dc:creator>麦麦麦</dc:creator>
  <cp:lastModifiedBy>小麦子</cp:lastModifiedBy>
  <dcterms:modified xsi:type="dcterms:W3CDTF">2026-09-16T05:47:37Z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eyJoZGlkIjoiY2RjOTAwYjlmMjJlY2E2OGU3NzJlMzY4NGJjODU5NDUiLCJ1c2VySWQiOiI2MjE4NDM0NjgifQ==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67F1BFA867FF4256A9121B691440E8C0_12</vt:lpwstr>
  </property>
</Properties>
</file>