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364CA7BF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 2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2346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2346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2346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2346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2346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2346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19E9EEF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23462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2346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2346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2346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2346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2346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2346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="005E4250" w:rsidRPr="00121755">
              <w:rPr>
                <w:rStyle w:val="a5"/>
                <w:rFonts w:cs="Times New Roman"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19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23462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2346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2346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2346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5E4250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r w:rsidRPr="0012212F">
        <w:rPr>
          <w:rFonts w:cs="Times New Roman"/>
          <w:szCs w:val="28"/>
          <w:lang w:val="en-US"/>
        </w:rPr>
        <w:t>StudLIB</w:t>
      </w:r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r w:rsidR="00DC69C3" w:rsidRPr="0012212F">
        <w:rPr>
          <w:rFonts w:cs="Times New Roman"/>
          <w:szCs w:val="28"/>
        </w:rPr>
        <w:t>автозаполнения</w:t>
      </w:r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валидировано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47BE3F69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1E0322">
        <w:rPr>
          <w:rFonts w:cs="Times New Roman"/>
          <w:szCs w:val="28"/>
        </w:rPr>
        <w:t>, таким образом статус заявки изменится на «готова к выдаче», по факту выдачи библиотекарь должен повторно подтвердить заявку, тем самым изменив ее статус на «выдана»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592078A4" w14:textId="15C6E3CA" w:rsidR="001E0322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>ункция 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валидироваться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0BE08AC3" w:rsidR="00E92F68" w:rsidRPr="001E0322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Книги, выданные на момент поиска, </w:t>
      </w:r>
      <w:r w:rsidR="001E0322">
        <w:rPr>
          <w:rFonts w:cs="Times New Roman"/>
          <w:szCs w:val="28"/>
        </w:rPr>
        <w:t xml:space="preserve">должны отображаться в специальном разделе поиска, в случае если они должны быть сданы в ближайшие </w:t>
      </w:r>
      <w:r w:rsidR="001E0322">
        <w:rPr>
          <w:rFonts w:cs="Times New Roman"/>
          <w:szCs w:val="28"/>
          <w:lang w:val="en-US"/>
        </w:rPr>
        <w:t>N</w:t>
      </w:r>
      <w:r w:rsidR="001E0322">
        <w:rPr>
          <w:rStyle w:val="af1"/>
          <w:rFonts w:cs="Times New Roman"/>
          <w:szCs w:val="28"/>
          <w:lang w:val="en-US"/>
        </w:rPr>
        <w:footnoteReference w:id="1"/>
      </w:r>
      <w:r w:rsidR="001E0322" w:rsidRPr="001E0322">
        <w:rPr>
          <w:rFonts w:cs="Times New Roman"/>
          <w:szCs w:val="28"/>
        </w:rPr>
        <w:t xml:space="preserve"> </w:t>
      </w:r>
      <w:r w:rsidR="001E0322">
        <w:rPr>
          <w:rFonts w:cs="Times New Roman"/>
          <w:szCs w:val="28"/>
        </w:rPr>
        <w:t>дней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43AE11CF" w14:textId="77777777" w:rsidR="008319A1" w:rsidRPr="008319A1" w:rsidRDefault="008319A1" w:rsidP="008319A1"/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7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0992FBD1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>, 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Pr="0012212F" w:rsidRDefault="008319A1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2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5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6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7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lastRenderedPageBreak/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8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9" w:name="bookmark32"/>
      <w:bookmarkStart w:id="40" w:name="_Toc85905249"/>
      <w:bookmarkStart w:id="41" w:name="_Toc151297328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9"/>
      <w:bookmarkEnd w:id="40"/>
      <w:bookmarkEnd w:id="41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bookmark33"/>
      <w:bookmarkStart w:id="43" w:name="_Toc85905250"/>
      <w:bookmarkStart w:id="44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2"/>
      <w:bookmarkEnd w:id="43"/>
      <w:bookmarkEnd w:id="44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5E4250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lastRenderedPageBreak/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5" w:name="_Toc85905251"/>
      <w:bookmarkStart w:id="46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5"/>
      <w:bookmarkEnd w:id="46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bookmark34"/>
      <w:bookmarkStart w:id="48" w:name="_Toc85905252"/>
      <w:bookmarkStart w:id="49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7"/>
      <w:bookmarkEnd w:id="48"/>
      <w:bookmarkEnd w:id="49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50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1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2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2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3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id - уникальный идентификатор (тип данных SERIAL)</w:t>
      </w:r>
      <w:r w:rsidRPr="0012212F">
        <w:rPr>
          <w:rFonts w:cs="Times New Roman"/>
          <w:szCs w:val="28"/>
        </w:rPr>
        <w:br/>
        <w:t xml:space="preserve">first_name - имя (тип данных VARCHAR(50)) </w:t>
      </w:r>
      <w:r w:rsidRPr="0012212F">
        <w:rPr>
          <w:rFonts w:cs="Times New Roman"/>
          <w:szCs w:val="28"/>
        </w:rPr>
        <w:br/>
        <w:t xml:space="preserve">last_name - фамилия (тип данных VARCHAR(50)) </w:t>
      </w:r>
      <w:r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lastRenderedPageBreak/>
        <w:t>date_of_birth - дата рождения (тип данных DATE)</w:t>
      </w:r>
      <w:r w:rsidRPr="0012212F">
        <w:rPr>
          <w:rFonts w:cs="Times New Roman"/>
          <w:szCs w:val="28"/>
        </w:rPr>
        <w:br/>
        <w:t xml:space="preserve">email - адрес электронной почты (тип данных VARCHAR(255)) phone_number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 xml:space="preserve">address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>created_at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 xml:space="preserve">12. читальный зал/хранилище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38DCCE4A" w14:textId="77777777" w:rsidR="00940B5E" w:rsidRDefault="00940B5E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</w:rPr>
              <w:t>15 стоимость</w:t>
            </w:r>
            <w:r w:rsidR="00801053">
              <w:rPr>
                <w:rFonts w:cs="Times New Roman"/>
                <w:szCs w:val="28"/>
              </w:rPr>
              <w:br/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6D8126B" w14:textId="77777777" w:rsid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16. Тип книги </w:t>
            </w:r>
            <w:r>
              <w:rPr>
                <w:rFonts w:cs="Times New Roman"/>
                <w:szCs w:val="28"/>
                <w:lang w:val="en-US"/>
              </w:rPr>
              <w:t>varchar</w:t>
            </w:r>
          </w:p>
          <w:p w14:paraId="7A7B2EE0" w14:textId="61933152" w:rsidR="00801053" w:rsidRP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0A4787D6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E0322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lastRenderedPageBreak/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2212F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689375C2" w14:textId="51CCD976" w:rsidR="001E0322" w:rsidRDefault="00577BD0" w:rsidP="001E0322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ABF64C0" w14:textId="34C087A4" w:rsidR="001E0322" w:rsidRPr="001E0322" w:rsidRDefault="001E0322" w:rsidP="001E0322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Статус – </w:t>
      </w:r>
      <w:r>
        <w:rPr>
          <w:rFonts w:cs="Times New Roman"/>
          <w:szCs w:val="28"/>
          <w:lang w:val="en-US"/>
        </w:rPr>
        <w:t>Status(integer)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06132E59" w14:textId="48594399" w:rsidR="00406BBB" w:rsidRPr="0012212F" w:rsidRDefault="00406BBB" w:rsidP="00406BBB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  <w:lang w:val="en-US"/>
        </w:rPr>
        <w:lastRenderedPageBreak/>
        <w:t>ISBN(varchar 50)</w:t>
      </w:r>
    </w:p>
    <w:sectPr w:rsidR="00406BBB" w:rsidRPr="0012212F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62A61" w14:textId="77777777" w:rsidR="00234624" w:rsidRDefault="00234624" w:rsidP="00192EC9">
      <w:pPr>
        <w:spacing w:after="0" w:line="240" w:lineRule="auto"/>
      </w:pPr>
      <w:r>
        <w:separator/>
      </w:r>
    </w:p>
  </w:endnote>
  <w:endnote w:type="continuationSeparator" w:id="0">
    <w:p w14:paraId="53B6F4A2" w14:textId="77777777" w:rsidR="00234624" w:rsidRDefault="00234624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EndPr/>
    <w:sdtContent>
      <w:p w14:paraId="4CD9FC30" w14:textId="3306A98E" w:rsidR="005E4250" w:rsidRDefault="005E42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322">
          <w:rPr>
            <w:noProof/>
          </w:rPr>
          <w:t>14</w:t>
        </w:r>
        <w:r>
          <w:fldChar w:fldCharType="end"/>
        </w:r>
      </w:p>
    </w:sdtContent>
  </w:sdt>
  <w:p w14:paraId="2EE79C8A" w14:textId="77777777" w:rsidR="005E4250" w:rsidRDefault="005E42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E42FB" w14:textId="77777777" w:rsidR="00234624" w:rsidRDefault="00234624" w:rsidP="00192EC9">
      <w:pPr>
        <w:spacing w:after="0" w:line="240" w:lineRule="auto"/>
      </w:pPr>
      <w:r>
        <w:separator/>
      </w:r>
    </w:p>
  </w:footnote>
  <w:footnote w:type="continuationSeparator" w:id="0">
    <w:p w14:paraId="07266784" w14:textId="77777777" w:rsidR="00234624" w:rsidRDefault="00234624" w:rsidP="00192EC9">
      <w:pPr>
        <w:spacing w:after="0" w:line="240" w:lineRule="auto"/>
      </w:pPr>
      <w:r>
        <w:continuationSeparator/>
      </w:r>
    </w:p>
  </w:footnote>
  <w:footnote w:id="1">
    <w:p w14:paraId="403815CF" w14:textId="2E2C6A31" w:rsidR="001E0322" w:rsidRPr="001E0322" w:rsidRDefault="001E0322">
      <w:pPr>
        <w:pStyle w:val="af"/>
      </w:pPr>
      <w:r>
        <w:rPr>
          <w:rStyle w:val="af1"/>
        </w:rPr>
        <w:footnoteRef/>
      </w:r>
      <w:r>
        <w:t xml:space="preserve"> Число </w:t>
      </w:r>
      <w:r>
        <w:rPr>
          <w:lang w:val="en-US"/>
        </w:rPr>
        <w:t>N</w:t>
      </w:r>
      <w:r w:rsidRPr="001E0322">
        <w:t xml:space="preserve"> </w:t>
      </w:r>
      <w:r>
        <w:t>– число дней установленное в настройках, как количество дней, за которое программа автоматически уведомляет читателя о необ</w:t>
      </w:r>
      <w:bookmarkStart w:id="25" w:name="_GoBack"/>
      <w:bookmarkEnd w:id="25"/>
      <w:r>
        <w:t>ходимости сдать книгу.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6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11"/>
  </w:num>
  <w:num w:numId="15">
    <w:abstractNumId w:val="15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1E0322"/>
    <w:rsid w:val="00203918"/>
    <w:rsid w:val="002118A7"/>
    <w:rsid w:val="00211E03"/>
    <w:rsid w:val="00234624"/>
    <w:rsid w:val="0025080E"/>
    <w:rsid w:val="002638FC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01053"/>
    <w:rsid w:val="00805F40"/>
    <w:rsid w:val="008142B5"/>
    <w:rsid w:val="0082221D"/>
    <w:rsid w:val="00826AED"/>
    <w:rsid w:val="008319A1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4465D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F7636"/>
    <w:rsid w:val="00D02064"/>
    <w:rsid w:val="00D039D5"/>
    <w:rsid w:val="00D0465F"/>
    <w:rsid w:val="00D33B0F"/>
    <w:rsid w:val="00D47093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54652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  <w:style w:type="paragraph" w:styleId="af">
    <w:name w:val="footnote text"/>
    <w:basedOn w:val="a"/>
    <w:link w:val="af0"/>
    <w:uiPriority w:val="99"/>
    <w:semiHidden/>
    <w:unhideWhenUsed/>
    <w:rsid w:val="001E032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0322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0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2E64-2078-437C-B283-A6B81351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24</Pages>
  <Words>4099</Words>
  <Characters>23366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42</cp:revision>
  <cp:lastPrinted>2023-11-19T11:39:00Z</cp:lastPrinted>
  <dcterms:created xsi:type="dcterms:W3CDTF">2023-09-21T09:52:00Z</dcterms:created>
  <dcterms:modified xsi:type="dcterms:W3CDTF">2023-12-03T09:04:00Z</dcterms:modified>
</cp:coreProperties>
</file>