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B1C758A" w14:textId="77777777" w:rsidR="008319A1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20554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_Toc151220554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DD61749" w14:textId="77777777" w:rsidR="008319A1" w:rsidRDefault="000266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5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_Toc151220555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9481194" w14:textId="77777777" w:rsidR="008319A1" w:rsidRDefault="000266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6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_Toc151220556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CD72E3C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7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_Toc151220557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26159AFA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8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_Toc151220558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25E720DE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9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_Toc151220559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2EE4B965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0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_Toc151220560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17A91BE1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1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_Toc151220561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D9F4574" w14:textId="77777777" w:rsidR="008319A1" w:rsidRDefault="000266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2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_Toc151220562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72384E40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3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_Toc151220563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751EE8A7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4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_Toc151220564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7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DD0552A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5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_Toc151220565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7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7C6007E4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6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_Toc151220566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8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0B1BBBA7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7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_Toc151220567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8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1FAB907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8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_Toc151220568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A9926B2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9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_Toc151220569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706E5CBE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0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_Toc151220570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10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4E8DC4F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1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_Toc151220571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10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0458A323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2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_Toc151220572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11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777206C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3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_Toc151220573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11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1023BD9B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4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_Toc151220574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12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62DAC24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5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_Toc151220575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12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6131A9D5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6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_Toc151220576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13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94D3887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7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_Toc151220577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13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27E7F51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8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_Toc151220578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13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9E70BF6" w14:textId="77777777" w:rsidR="008319A1" w:rsidRDefault="0002661A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9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_Toc151220579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14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6FC2A56B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0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_Toc151220580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1950FDE6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1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_Toc151220581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3291621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2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_Toc151220582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6A42C4F4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3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_Toc151220583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1E8AC419" w14:textId="77777777" w:rsidR="008319A1" w:rsidRDefault="000266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4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_Toc151220584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C91A56F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5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_Toc151220585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0A846F91" w14:textId="77777777" w:rsidR="008319A1" w:rsidRDefault="0002661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6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_Toc151220586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15B8B1CB" w14:textId="77777777" w:rsidR="008319A1" w:rsidRDefault="000266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7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_Toc151220587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69898159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8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_Toc151220588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B3433E8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9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_Toc151220589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16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7CB83FCB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0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_Toc151220590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17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37439E5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1" w:history="1">
            <w:r w:rsidR="008319A1" w:rsidRPr="00FB6718">
              <w:rPr>
                <w:rStyle w:val="a5"/>
                <w:rFonts w:cs="Times New Roman"/>
                <w:b/>
                <w:noProof/>
              </w:rPr>
              <w:t>7.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_Toc151220591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17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CDDD670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2" w:history="1">
            <w:r w:rsidR="008319A1" w:rsidRPr="00FB6718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_Toc151220592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17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45787522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3" w:history="1">
            <w:r w:rsidR="008319A1" w:rsidRPr="00FB6718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_Toc151220593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9326927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4" w:history="1">
            <w:r w:rsidR="008319A1" w:rsidRPr="00FB6718">
              <w:rPr>
                <w:rStyle w:val="a5"/>
                <w:rFonts w:cs="Times New Roman"/>
                <w:b/>
                <w:noProof/>
              </w:rPr>
              <w:t>7.2 Исполнители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_Toc151220594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5DF8C1CD" w14:textId="77777777" w:rsidR="008319A1" w:rsidRDefault="000266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5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8.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_Toc151220595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2B2FBE00" w14:textId="77777777" w:rsidR="008319A1" w:rsidRDefault="000266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6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_Toc151220596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6198C862" w14:textId="77777777" w:rsidR="008319A1" w:rsidRDefault="000266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7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_Toc151220597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D4C5542" w14:textId="77777777" w:rsidR="008319A1" w:rsidRDefault="000266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8" w:history="1">
            <w:r w:rsidR="008319A1" w:rsidRPr="00FB6718">
              <w:rPr>
                <w:rStyle w:val="a5"/>
                <w:rFonts w:cs="Times New Roman"/>
                <w:b/>
                <w:noProof/>
              </w:rPr>
              <w:t>9. Приложения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_Toc151220598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19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2055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2055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2055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2055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2055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2055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2056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2056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2056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2056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2056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proofErr w:type="spellStart"/>
      <w:r w:rsidR="00DC69C3" w:rsidRPr="0012212F">
        <w:rPr>
          <w:rFonts w:cs="Times New Roman"/>
          <w:szCs w:val="28"/>
        </w:rPr>
        <w:t>автозаполнения</w:t>
      </w:r>
      <w:proofErr w:type="spellEnd"/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2056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B5100B" w:rsidRPr="0012212F">
        <w:rPr>
          <w:rFonts w:cs="Times New Roman"/>
          <w:szCs w:val="28"/>
        </w:rPr>
        <w:t>.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2056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2056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 xml:space="preserve">ункция </w:t>
      </w:r>
      <w:r w:rsidR="004130FC" w:rsidRPr="0012212F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2056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2056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2057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2057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8" w:name="_Toc15122057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2057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2057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20575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2212F">
        <w:rPr>
          <w:rFonts w:cs="Times New Roman"/>
          <w:szCs w:val="28"/>
        </w:rPr>
        <w:lastRenderedPageBreak/>
        <w:t>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20576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20577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2057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2212F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 w:rsidRPr="0012212F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2057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0D6268D6" w14:textId="302E9D25" w:rsidR="00DF055E" w:rsidRPr="0012212F" w:rsidRDefault="00DF055E" w:rsidP="00DF055E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читателя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</w:p>
    <w:p w14:paraId="135C8ECB" w14:textId="243BB94F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должна предоставлять возможность изменять информацию о </w:t>
      </w:r>
      <w:r>
        <w:rPr>
          <w:rFonts w:cs="Times New Roman"/>
          <w:szCs w:val="28"/>
        </w:rPr>
        <w:t>читателе</w:t>
      </w:r>
      <w:r w:rsidRPr="0012212F">
        <w:rPr>
          <w:rFonts w:cs="Times New Roman"/>
          <w:szCs w:val="28"/>
        </w:rPr>
        <w:t xml:space="preserve"> средствами графического интерфейса</w:t>
      </w:r>
      <w:r>
        <w:rPr>
          <w:rFonts w:cs="Times New Roman"/>
          <w:szCs w:val="28"/>
        </w:rPr>
        <w:t xml:space="preserve"> на персональной странице данного читателя</w:t>
      </w:r>
      <w:r w:rsidRPr="0012212F">
        <w:rPr>
          <w:rFonts w:cs="Times New Roman"/>
          <w:szCs w:val="28"/>
        </w:rPr>
        <w:t xml:space="preserve"> (см. таб.1 Прил. 2).</w:t>
      </w:r>
    </w:p>
    <w:p w14:paraId="60DECC4C" w14:textId="0992FBD1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функция должна обновлять информацию.</w:t>
      </w:r>
      <w:r w:rsidRPr="0012212F">
        <w:rPr>
          <w:rFonts w:cs="Times New Roman"/>
          <w:szCs w:val="28"/>
        </w:rPr>
        <w:br/>
        <w:t xml:space="preserve">Для ее использования библиотекарю необходимо открыть страницу </w:t>
      </w:r>
      <w:r>
        <w:rPr>
          <w:rFonts w:cs="Times New Roman"/>
          <w:szCs w:val="28"/>
        </w:rPr>
        <w:t>читателя</w:t>
      </w:r>
      <w:r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lastRenderedPageBreak/>
        <w:t>выбрав ее через поиск и нажав на ней кнопку редактирования. О</w:t>
      </w:r>
      <w:r>
        <w:rPr>
          <w:rFonts w:cs="Times New Roman"/>
          <w:szCs w:val="28"/>
        </w:rPr>
        <w:t>граничения наследуются из 4.1.11</w:t>
      </w:r>
      <w:r w:rsidRPr="0012212F">
        <w:rPr>
          <w:rFonts w:cs="Times New Roman"/>
          <w:szCs w:val="28"/>
        </w:rPr>
        <w:t>.</w:t>
      </w:r>
    </w:p>
    <w:p w14:paraId="5E50758C" w14:textId="77777777" w:rsidR="00DF055E" w:rsidRPr="0012212F" w:rsidRDefault="00DF055E" w:rsidP="00DF05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исчезнуть без участия пользователя, если операция была успешна, иначе в сообщении должна быть отражена суть ошибки.</w:t>
      </w:r>
    </w:p>
    <w:p w14:paraId="2ADD7872" w14:textId="77777777" w:rsidR="00DF055E" w:rsidRDefault="00DF055E" w:rsidP="00192EC9">
      <w:pPr>
        <w:rPr>
          <w:rFonts w:cs="Times New Roman"/>
          <w:szCs w:val="28"/>
        </w:rPr>
      </w:pP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Pr="0012212F" w:rsidRDefault="008319A1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122058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6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2058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2058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2058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0" w:name="_Toc15122058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122058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2058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01F4DB12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</w:t>
      </w:r>
      <w:r w:rsidR="00D47093">
        <w:rPr>
          <w:rFonts w:cs="Times New Roman"/>
          <w:szCs w:val="28"/>
        </w:rPr>
        <w:t xml:space="preserve"> и принтером бумаги формата А4</w:t>
      </w:r>
      <w:bookmarkStart w:id="33" w:name="_GoBack"/>
      <w:bookmarkEnd w:id="33"/>
      <w:r>
        <w:rPr>
          <w:rFonts w:cs="Times New Roman"/>
          <w:szCs w:val="28"/>
        </w:rPr>
        <w:t>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4" w:name="_Toc151220587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2058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2058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205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20591"/>
      <w:r w:rsidRPr="0012212F">
        <w:rPr>
          <w:rStyle w:val="12"/>
          <w:rFonts w:cs="Times New Roman"/>
          <w:color w:val="000000"/>
          <w:sz w:val="28"/>
          <w:szCs w:val="28"/>
        </w:rPr>
        <w:lastRenderedPageBreak/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20592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EF448D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20593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20594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DF055E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205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205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20597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20598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2212F">
        <w:rPr>
          <w:rFonts w:cs="Times New Roman"/>
          <w:szCs w:val="28"/>
        </w:rPr>
        <w:t>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</w:t>
      </w:r>
      <w:proofErr w:type="gramEnd"/>
      <w:r w:rsidRPr="0012212F">
        <w:rPr>
          <w:rFonts w:cs="Times New Roman"/>
          <w:szCs w:val="28"/>
        </w:rPr>
        <w:t>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lastRenderedPageBreak/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12212F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15 стоимость </w:t>
            </w:r>
            <w:r w:rsidRPr="0012212F">
              <w:rPr>
                <w:rFonts w:cs="Times New Roman"/>
                <w:szCs w:val="28"/>
                <w:lang w:val="en-US"/>
              </w:rPr>
              <w:lastRenderedPageBreak/>
              <w:t>integer</w:t>
            </w: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DF055E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lastRenderedPageBreak/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proofErr w:type="gramStart"/>
      <w:r w:rsidRPr="0012212F">
        <w:rPr>
          <w:rFonts w:cs="Times New Roman"/>
          <w:szCs w:val="28"/>
          <w:lang w:val="en-US"/>
        </w:rPr>
        <w:t>ISBN(</w:t>
      </w:r>
      <w:proofErr w:type="gramEnd"/>
      <w:r w:rsidRPr="0012212F">
        <w:rPr>
          <w:rFonts w:cs="Times New Roman"/>
          <w:szCs w:val="28"/>
          <w:lang w:val="en-US"/>
        </w:rPr>
        <w:t>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32772" w14:textId="77777777" w:rsidR="0002661A" w:rsidRDefault="0002661A" w:rsidP="00192EC9">
      <w:pPr>
        <w:spacing w:after="0" w:line="240" w:lineRule="auto"/>
      </w:pPr>
      <w:r>
        <w:separator/>
      </w:r>
    </w:p>
  </w:endnote>
  <w:endnote w:type="continuationSeparator" w:id="0">
    <w:p w14:paraId="71AD2484" w14:textId="77777777" w:rsidR="0002661A" w:rsidRDefault="0002661A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2C0005" w:rsidRDefault="002C00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093">
          <w:rPr>
            <w:noProof/>
          </w:rPr>
          <w:t>22</w:t>
        </w:r>
        <w:r>
          <w:fldChar w:fldCharType="end"/>
        </w:r>
      </w:p>
    </w:sdtContent>
  </w:sdt>
  <w:p w14:paraId="2EE79C8A" w14:textId="77777777" w:rsidR="002C0005" w:rsidRDefault="002C00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9F4EE" w14:textId="77777777" w:rsidR="0002661A" w:rsidRDefault="0002661A" w:rsidP="00192EC9">
      <w:pPr>
        <w:spacing w:after="0" w:line="240" w:lineRule="auto"/>
      </w:pPr>
      <w:r>
        <w:separator/>
      </w:r>
    </w:p>
  </w:footnote>
  <w:footnote w:type="continuationSeparator" w:id="0">
    <w:p w14:paraId="22277D0D" w14:textId="77777777" w:rsidR="0002661A" w:rsidRDefault="0002661A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1"/>
  </w:num>
  <w:num w:numId="15">
    <w:abstractNumId w:val="15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2661A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203918"/>
    <w:rsid w:val="002118A7"/>
    <w:rsid w:val="00211E03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47093"/>
    <w:rsid w:val="00D80921"/>
    <w:rsid w:val="00DA5065"/>
    <w:rsid w:val="00DB185C"/>
    <w:rsid w:val="00DC69C3"/>
    <w:rsid w:val="00DC733F"/>
    <w:rsid w:val="00DF055E"/>
    <w:rsid w:val="00E211F2"/>
    <w:rsid w:val="00E3573F"/>
    <w:rsid w:val="00E50DE0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FCF0-4EE1-45C7-ACD6-C84A83F8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23</Pages>
  <Words>4047</Words>
  <Characters>23070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38</cp:revision>
  <cp:lastPrinted>2023-11-08T08:17:00Z</cp:lastPrinted>
  <dcterms:created xsi:type="dcterms:W3CDTF">2023-09-21T09:52:00Z</dcterms:created>
  <dcterms:modified xsi:type="dcterms:W3CDTF">2023-11-19T05:42:00Z</dcterms:modified>
</cp:coreProperties>
</file>