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F30C6E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24BB97CD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971D11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E6F084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F30C6E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49CF949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514449C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,79188376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294,2694</w:t>
      </w:r>
    </w:p>
    <w:p w14:paraId="7598B50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,62707990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3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525</w:t>
      </w:r>
    </w:p>
    <w:p w14:paraId="7E662C73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529</w:t>
      </w: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adjusted R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,62494892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30C446AB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28769,357570</w:t>
      </w:r>
    </w:p>
    <w:p w14:paraId="74D7D09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-42787</w:t>
      </w:r>
      <w:proofErr w:type="gramStart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,39323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3276,318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525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-13,06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1669C26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2533D48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b*=,226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b*=,588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E62F3E1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533015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C7312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4B5C17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BCBEEAF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765BBC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1D9336B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010F3E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0473E02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AD0C8B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2463E0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"/>
        <w:gridCol w:w="1775"/>
        <w:gridCol w:w="1649"/>
        <w:gridCol w:w="1564"/>
        <w:gridCol w:w="1649"/>
        <w:gridCol w:w="1564"/>
        <w:gridCol w:w="1649"/>
      </w:tblGrid>
      <w:tr w:rsidR="00A850C6" w:rsidRPr="00F30C6E" w14:paraId="1C877FD0" w14:textId="77777777" w:rsidTr="00A850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1403F3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30C6E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8C51A1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,79188376 R?= ,62707990 Adjusted R?= ,62494892 F(3,525)=294,27 p</w:t>
            </w:r>
          </w:p>
        </w:tc>
      </w:tr>
      <w:tr w:rsidR="00A850C6" w:rsidRPr="00A850C6" w14:paraId="57B35CE3" w14:textId="77777777" w:rsidTr="00A850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3F07A9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A850C6" w:rsidRPr="00A850C6" w14:paraId="0EE58E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15A19B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799950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70F1CA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F61789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6E8A6E3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715E19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56F768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41FDE54F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3983C9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52DA0C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FDF272A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1028D5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E1F04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t(525)</w:t>
                  </w:r>
                </w:p>
              </w:tc>
            </w:tr>
          </w:tbl>
          <w:p w14:paraId="0991F732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037D21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4FF26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27398A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6" w:rsidRPr="00A850C6" w14:paraId="7991F340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5A98E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F48CF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36D3344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5B1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6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BCD1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-42787,4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7A6C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3276,318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5D55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-13,0596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65B8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56B44DA3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4D2C20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DDAB4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0E20B5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AD37D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410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C2CB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488,3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C7400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ADFB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3,8362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566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0,000140</w:t>
            </w:r>
          </w:p>
        </w:tc>
      </w:tr>
      <w:tr w:rsidR="00A850C6" w:rsidRPr="00A850C6" w14:paraId="27F08AA6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223FB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13375C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1C6328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E145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0,587822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FA55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4FD2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817,8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10F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9F61E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9,9966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BEAEE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33CD77C1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78AE4E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03D925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FE2B4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FE84A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F250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BE4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8E1E1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E79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6CA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0,084593</w:t>
            </w:r>
          </w:p>
        </w:tc>
      </w:tr>
    </w:tbl>
    <w:p w14:paraId="3E32BF7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9BA28E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160CEC9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C64CBF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990B013" w14:textId="08DC7442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07931B34" w14:textId="51457C32" w:rsidR="009E596D" w:rsidRPr="009E596D" w:rsidRDefault="00A850C6" w:rsidP="008116AB">
      <w:pPr>
        <w:ind w:firstLine="851"/>
        <w:jc w:val="both"/>
        <w:rPr>
          <w:szCs w:val="28"/>
          <w:lang w:val="en-US"/>
        </w:rPr>
      </w:pPr>
      <w:r>
        <w:object w:dxaOrig="9361" w:dyaOrig="7021" w14:anchorId="4B6DE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8" o:title=""/>
          </v:shape>
          <o:OLEObject Type="Embed" ProgID="STATISTICA.Graph" ShapeID="_x0000_i1025" DrawAspect="Content" ObjectID="_1774637820" r:id="rId9">
            <o:FieldCodes>\s</o:FieldCodes>
          </o:OLEObject>
        </w:object>
      </w:r>
    </w:p>
    <w:bookmarkEnd w:id="6"/>
    <w:p w14:paraId="49094FD7" w14:textId="11F0865D" w:rsidR="009E596D" w:rsidRDefault="009E596D" w:rsidP="00086B42"/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7547AF7B" w:rsidR="00B24F20" w:rsidRPr="00F30C6E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418B934" w14:textId="282459F5" w:rsidR="00202E8C" w:rsidRPr="00A850C6" w:rsidRDefault="00F30C6E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-42787,4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3276,318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488,3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27,3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817,8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81,809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</m:oMath>
      </m:oMathPara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F30C6E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295D967E" w14:textId="380EFA99" w:rsidR="009E596D" w:rsidRPr="00202E8C" w:rsidRDefault="00F30C6E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7E4936" w:rsidRPr="00F30C6E" w14:paraId="36B3BB40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EEDC91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3906D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7E4936" w:rsidRPr="007E4936" w14:paraId="07906DD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235C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4279A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B1697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E5FEB9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7E4936" w:rsidRPr="007E4936" w14:paraId="34CE3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DE8CD9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737A3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61DCA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974AC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F5C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7E4936" w:rsidRPr="007E4936" w14:paraId="02E28A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7321BF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7E67DD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7E4936" w:rsidRPr="007E4936" w14:paraId="75418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5E0E4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1DC80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72772C8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6F000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1D5B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323A0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A01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7,306791E+11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1D00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7692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2,435597E+11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9BC4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294,2694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079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7C567CE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32F8B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5061F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0ACA7C7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587A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4,345299E+11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28B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EF70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8,276759E+08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07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072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09CBDF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73A2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02131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3226FE8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E97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05B30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2FF7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814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F3C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47CC0D96" w:rsidR="009E596D" w:rsidRDefault="00F30C6E" w:rsidP="00086B42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4,345299E+11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7E4936" w:rsidRPr="00F30C6E" w14:paraId="4EAD30BF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547BE7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C630B1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C4253F6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33DC7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084A2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9E7DB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086D74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E4936" w:rsidRPr="007E4936" w14:paraId="59350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FD085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BE54A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4DF2C8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2603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5F9DD2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56E8B6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A6E69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8BC738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08B55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AA1A0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03D571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C9465E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10DF31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BD8F6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D8D312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30C7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4,977996E+09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127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4C9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1,659332E+09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409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67,31178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7A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4D7F906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59EB6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6634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36E0D3C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A45B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4,166093E+09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AE4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4468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2,465144E+07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2DB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AD02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AAC0E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41E18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48AE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467951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F2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7209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A2C6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551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08A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41397" w14:textId="69435EFF" w:rsidR="00F30C6E" w:rsidRDefault="00F30C6E" w:rsidP="00F30C6E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4,166093E+09</m:t>
          </m:r>
        </m:oMath>
      </m:oMathPara>
    </w:p>
    <w:p w14:paraId="72AD7270" w14:textId="77777777" w:rsidR="00B11751" w:rsidRDefault="00B11751" w:rsidP="00086B42"/>
    <w:p w14:paraId="29EB1A4E" w14:textId="77777777" w:rsidR="00B11751" w:rsidRDefault="00B11751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7E4936" w:rsidRPr="00F30C6E" w14:paraId="47CFAD5A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42381C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370BE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6F57D48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3A1DC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72A2FC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952B1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B7F1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7E4936" w:rsidRPr="007E4936" w14:paraId="009781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ADDA2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4F6161C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694BB6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F0FDF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8A67C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7E4936" w:rsidRPr="007E4936" w14:paraId="585521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FEBAE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4E220E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7E4936" w:rsidRPr="007E4936" w14:paraId="24116B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1614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B53F7D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45A6FC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3868E7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0848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B95D0A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3606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6,573540E+11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71E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552D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2,191180E+11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8276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199,2668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C425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380621C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21C69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7F1384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7157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5FE6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3,870666E+11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E1BD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361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1,099621E+09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E9C7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4BE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585C625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8A4AA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A04BD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037EE7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3BC6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F49E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6218C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5C59B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89E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6CAAF0EF" w:rsidR="00B11751" w:rsidRDefault="00F30C6E" w:rsidP="00086B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3,870666E+11</m:t>
          </m:r>
        </m:oMath>
      </m:oMathPara>
    </w:p>
    <w:p w14:paraId="18596FD7" w14:textId="3A244327" w:rsidR="0076163F" w:rsidRPr="0076163F" w:rsidRDefault="00F30C6E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-2)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4,345299E+11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4,166093E+09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3,870666E+11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)/(3+1)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4,166093E+09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3,870666E+11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(529-2⋅3-2)</m:t>
                </m:r>
              </m:den>
            </m:f>
          </m:den>
        </m:f>
      </m:oMath>
      <w:r w:rsidR="0076163F" w:rsidRPr="0076163F">
        <w:rPr>
          <w:rFonts w:eastAsiaTheme="minorEastAsia"/>
          <w:sz w:val="24"/>
          <w:szCs w:val="24"/>
          <w:lang w:val="en-US"/>
        </w:rPr>
        <w:t>=</w:t>
      </w:r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5</w:t>
      </w:r>
      <w:proofErr w:type="gramStart"/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,31E</w:t>
      </w:r>
      <w:proofErr w:type="gramEnd"/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-05</w:t>
      </w:r>
    </w:p>
    <w:p w14:paraId="1D84B464" w14:textId="26353ABB" w:rsidR="00F30C6E" w:rsidRDefault="0076163F" w:rsidP="00086B42">
      <w:pPr>
        <w:rPr>
          <w:lang w:val="en-US"/>
        </w:rPr>
      </w:pPr>
      <w:proofErr w:type="spellStart"/>
      <w:r>
        <w:t>Расч</w:t>
      </w:r>
      <w:proofErr w:type="spellEnd"/>
      <w:r>
        <w:t xml:space="preserve"> = </w:t>
      </w:r>
      <w:r>
        <w:rPr>
          <w:lang w:val="en-US"/>
        </w:rPr>
        <w:t>F(4;521) =2,3289</w:t>
      </w:r>
    </w:p>
    <w:p w14:paraId="4C0CE836" w14:textId="398CA4EB" w:rsidR="0076163F" w:rsidRDefault="0076163F" w:rsidP="00086B42">
      <w:r>
        <w:t>Выборки неоднородны</w:t>
      </w:r>
    </w:p>
    <w:p w14:paraId="67DE774C" w14:textId="77777777" w:rsidR="0076163F" w:rsidRPr="0076163F" w:rsidRDefault="0076163F" w:rsidP="00086B42"/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7E4936" w:rsidRPr="00F30C6E" w14:paraId="38FB839D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0CBDA7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63F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788DF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582FE064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F4FBD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E4936" w:rsidRPr="007E4936" w14:paraId="10DF77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6E77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809AD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7E4936" w:rsidRPr="007E4936" w14:paraId="6499C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5A632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AD1054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E4936" w:rsidRPr="007E4936" w14:paraId="145B3B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56FB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0B0C92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67B5AC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4E6CE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FB0DD8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762C33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302C9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8D255B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2DDAED5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E71A4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0470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8B4E5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3601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8,756630E+09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91E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35CA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2,918877E+09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58F1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68,50909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F2F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5D2BAFD8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BA24E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D0498C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C978DE0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9A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7,285572E+09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4F47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3514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4,260568E+07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1AE6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C029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DF788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2D93F6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05E7A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063DB9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8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A14A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7FBC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D5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C90E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7E4936" w:rsidRPr="00F30C6E" w14:paraId="54DDD83E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7872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FC934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6305151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BDAB5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D8AB5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63539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D4F99F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7E4936" w:rsidRPr="007E4936" w14:paraId="58D448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D2A36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E9FC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6211A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7DCCA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01A52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7E4936" w:rsidRPr="007E4936" w14:paraId="187B0B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2A3D3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36B466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7E4936" w:rsidRPr="007E4936" w14:paraId="2A2B8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BBF0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40F334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100DBAB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B4554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C4E50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3DCBE7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E732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6,666043E+11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5097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91A0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2,222014E+11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986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203,4358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74EF5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26401D1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AF425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BFB79E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359329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74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3,822853E+11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AD8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BC29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1,092244E+09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58C8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BDC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F07EB3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014C23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A9CDE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0FEB63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469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9BFA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46F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F040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6AF36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455D36D2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5,54E-05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выборки неоднородны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803CBB" w:rsidRPr="00F30C6E" w14:paraId="3850B9F7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EFBE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A74A7A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2DA34D3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FAFB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6DB5C2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978428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011A9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803CBB" w:rsidRPr="00803CBB" w14:paraId="45D887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669E6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1ED8D32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749E01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2975E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CAB933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63AD63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3C76F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DD6FF8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155BFC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14CF2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4F106E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0AC1420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56565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D6541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E003D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6F5D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4,155120E+11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2E16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CDB7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1,385040E+11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B676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79,32048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A9CE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444F14B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31AA91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0DC0CF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7A18B7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FC34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3,090653E+11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412A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C548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1,746132E+09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494C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CF4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0A5A263F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74373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DB11B7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71BD21AF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21D9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66D7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35EC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8CB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5264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08B236" w14:textId="7C16C6FF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0,00017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Выборки неоднородны</w:t>
      </w:r>
    </w:p>
    <w:p w14:paraId="5ADA9364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2"/>
        <w:gridCol w:w="2768"/>
        <w:gridCol w:w="744"/>
        <w:gridCol w:w="2767"/>
        <w:gridCol w:w="1786"/>
        <w:gridCol w:w="1463"/>
      </w:tblGrid>
      <w:tr w:rsidR="00803CBB" w:rsidRPr="00F30C6E" w14:paraId="2A149E61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76F54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0ACA3C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4C7D48ED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0CBDF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803CBB" w:rsidRPr="00803CBB" w14:paraId="0D88F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1691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AE82A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803CBB" w:rsidRPr="00803CBB" w14:paraId="1BEEBE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BBD53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31198314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803CBB" w:rsidRPr="00803CBB" w14:paraId="6826C0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6653E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1A986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03CBB" w:rsidRPr="00803CBB" w14:paraId="4B36B5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AA16B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CD3AC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803CBB" w:rsidRPr="00803CBB" w14:paraId="456EC2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90147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532E4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5360B18E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6CC009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637D04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E2FAD6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BF1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1,335026E+10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D647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4D46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4,450085E+09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5F1D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127,8497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2CF285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63950E8C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71ECA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87B3D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ED574C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D1E6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1,197367E+10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42CCA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6ED1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3,480717E+07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17B0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A352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65ED72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2ED3A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5C0FB6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8B3506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06D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2,532392E+10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C88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ECC8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8300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75B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14363F" w14:textId="77777777" w:rsidR="007E28BE" w:rsidRDefault="007E28BE" w:rsidP="00086B42">
      <w:pPr>
        <w:rPr>
          <w:lang w:val="en-US"/>
        </w:rPr>
      </w:pPr>
    </w:p>
    <w:p w14:paraId="7EA0C71F" w14:textId="7538B19C" w:rsidR="00803CBB" w:rsidRPr="00803CBB" w:rsidRDefault="00803CBB" w:rsidP="00803CBB">
      <w:pPr>
        <w:pStyle w:val="a4"/>
        <w:numPr>
          <w:ilvl w:val="0"/>
          <w:numId w:val="9"/>
        </w:numPr>
        <w:suppressAutoHyphens/>
        <w:spacing w:before="0" w:after="0"/>
      </w:pPr>
      <w:r w:rsidRPr="00803CBB">
        <w:rPr>
          <w:color w:val="000000" w:themeColor="text1"/>
          <w:szCs w:val="28"/>
        </w:rPr>
        <w:t xml:space="preserve">Разбиваем выборку на 2 однородных группы для оценки критерия ЧОУ по переменной </w:t>
      </w:r>
      <w:r w:rsidRPr="00803CBB">
        <w:rPr>
          <w:color w:val="000000" w:themeColor="text1"/>
          <w:szCs w:val="28"/>
          <w:lang w:val="en-US"/>
        </w:rPr>
        <w:t>X</w:t>
      </w:r>
      <w:r w:rsidRPr="00803CBB">
        <w:rPr>
          <w:color w:val="000000" w:themeColor="text1"/>
          <w:szCs w:val="28"/>
        </w:rPr>
        <w:t>5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4"/>
        <w:gridCol w:w="2631"/>
        <w:gridCol w:w="708"/>
        <w:gridCol w:w="2631"/>
        <w:gridCol w:w="1698"/>
        <w:gridCol w:w="1698"/>
      </w:tblGrid>
      <w:tr w:rsidR="00803CBB" w:rsidRPr="00F30C6E" w14:paraId="0208266C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FFBE7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B39C35A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X5=2</w:t>
            </w:r>
          </w:p>
        </w:tc>
      </w:tr>
      <w:tr w:rsidR="00803CBB" w:rsidRPr="00803CBB" w14:paraId="55D0A991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B6B5B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3CF377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669F2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33A550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803CBB" w:rsidRPr="00803CBB" w14:paraId="723EE6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DD2770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21CBAA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2684EA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31548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42CDA8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5A00E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7C920E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F6EBC2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34EB3F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34DC1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FE1D5B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1C20ADF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1E9DDE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6029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97FF64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823B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1,109541E+11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1EEB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E83E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3,698469E+10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78D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70,52105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D61CE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6D335F89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3D93FF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F2FA8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1C61ED1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924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1,311123E+11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B9E3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08A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5,244490E+08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0761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FC91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D415D1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76FA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4EA3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75DFCE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BE5C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2,420663E+11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B2E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245E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18D4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5EA7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CFADE8" w14:textId="77777777" w:rsidR="007E28BE" w:rsidRDefault="007E28BE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75"/>
        <w:gridCol w:w="2723"/>
        <w:gridCol w:w="732"/>
        <w:gridCol w:w="2723"/>
        <w:gridCol w:w="1757"/>
        <w:gridCol w:w="1440"/>
      </w:tblGrid>
      <w:tr w:rsidR="00803CBB" w:rsidRPr="00F30C6E" w14:paraId="01E966DF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5518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4AA3CC0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X5=2</w:t>
            </w:r>
          </w:p>
        </w:tc>
      </w:tr>
      <w:tr w:rsidR="00803CBB" w:rsidRPr="00803CBB" w14:paraId="1E148EE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1C39A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2D77A7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DD725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26F3DE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803CBB" w:rsidRPr="00803CBB" w14:paraId="6A316E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A6630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571294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66966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49C84F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261E5B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803CBB" w:rsidRPr="00803CBB" w14:paraId="0BC2A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B5DBE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4E7E50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803CBB" w:rsidRPr="00803CBB" w14:paraId="1F7CE3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F49DBAB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52A97F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2ED9E302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4E5D46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B529E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B5EB5B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DFAB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6,046567E+11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8BC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387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2,015522E+11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3380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225,7720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940D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79A4F42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62045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E6883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C056DF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82D8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2,419284E+11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EC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424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8,927245E+08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A26E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F358D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1BF7B5F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28570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80650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E77D72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6A6C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8,465851E+11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7DF94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903B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039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941A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6F173E" w14:textId="0DA98BB1" w:rsidR="00803CBB" w:rsidRDefault="003A0E4D" w:rsidP="003A0E4D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7,91E-05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Значения неоднородны</w:t>
      </w:r>
    </w:p>
    <w:p w14:paraId="3C60B242" w14:textId="4E1D4C3F" w:rsidR="003A0E4D" w:rsidRDefault="003A0E4D" w:rsidP="003A0E4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Введение фиктивных переменных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C972F3" w:rsidRPr="008116AB" w14:paraId="58C7B357" w14:textId="77777777" w:rsidTr="000B1FC1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BB17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1CC6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C972F3" w:rsidRPr="008116AB" w14:paraId="1B9730B6" w14:textId="77777777" w:rsidTr="000B1FC1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0187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F4140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C972F3" w:rsidRPr="008116AB" w14:paraId="2AE60CA1" w14:textId="77777777" w:rsidTr="000B1FC1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6CBE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7877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C972F3" w:rsidRPr="008116AB" w14:paraId="75AC37F6" w14:textId="77777777" w:rsidTr="000B1FC1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3416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E0FAC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C972F3" w:rsidRPr="008116AB" w14:paraId="2FD38752" w14:textId="77777777" w:rsidTr="000B1FC1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C995" w14:textId="10DC77D6" w:rsidR="00C972F3" w:rsidRPr="008116AB" w:rsidRDefault="00713FD8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</w:t>
            </w:r>
            <w:r w:rsidR="00C972F3"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A6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C972F3" w:rsidRPr="008116AB" w14:paraId="3A49F858" w14:textId="77777777" w:rsidTr="000B1FC1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B27BC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40F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C972F3" w:rsidRPr="008116AB" w14:paraId="29D250AA" w14:textId="77777777" w:rsidTr="000B1FC1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1A17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C131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C972F3" w:rsidRPr="008116AB" w14:paraId="4EF15A47" w14:textId="77777777" w:rsidTr="000B1FC1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57C3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8AAF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C972F3" w:rsidRPr="008116AB" w14:paraId="15ECA453" w14:textId="77777777" w:rsidTr="000B1FC1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35A1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212D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C972F3" w:rsidRPr="008116AB" w14:paraId="6920EE7F" w14:textId="77777777" w:rsidTr="000B1FC1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C9FD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AD79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</w:tbl>
    <w:p w14:paraId="29BB4D00" w14:textId="77777777" w:rsidR="00C972F3" w:rsidRPr="00C972F3" w:rsidRDefault="00C972F3" w:rsidP="00C972F3">
      <w:pPr>
        <w:rPr>
          <w:lang w:eastAsia="ru-RU"/>
        </w:rPr>
      </w:pPr>
    </w:p>
    <w:p w14:paraId="0B37B5F7" w14:textId="2FB5C905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proofErr w:type="gramStart"/>
      <w:r w:rsidR="00394D61">
        <w:rPr>
          <w:color w:val="000000" w:themeColor="text1"/>
          <w:sz w:val="24"/>
          <w:szCs w:val="18"/>
          <w:vertAlign w:val="subscript"/>
        </w:rPr>
        <w:t>1</w:t>
      </w:r>
      <w:proofErr w:type="gramEnd"/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(Центральный-базовая):</w:t>
      </w:r>
    </w:p>
    <w:p w14:paraId="734C694B" w14:textId="14DE30DD" w:rsidR="00C972F3" w:rsidRDefault="00C972F3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Южный округ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5570602A" w14:textId="043721D3" w:rsidR="00C972F3" w:rsidRDefault="00C972F3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Северо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Восточный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03B72D30" w14:textId="46010CEA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10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</w:t>
      </w:r>
      <w:r>
        <w:rPr>
          <w:color w:val="000000" w:themeColor="text1"/>
          <w:sz w:val="24"/>
          <w:szCs w:val="18"/>
        </w:rPr>
        <w:t>первый</w:t>
      </w:r>
      <w:r>
        <w:rPr>
          <w:color w:val="000000" w:themeColor="text1"/>
          <w:sz w:val="24"/>
          <w:szCs w:val="18"/>
        </w:rPr>
        <w:t>-базовая):</w:t>
      </w:r>
    </w:p>
    <w:p w14:paraId="73EBB0AA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28BFF739" w14:textId="3BA9DBAF" w:rsidR="00C972F3" w:rsidRDefault="00C972F3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промежуточный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677C1EF2" w14:textId="5736C271" w:rsidR="00C972F3" w:rsidRDefault="00C972F3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последний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5F5FCA72" w14:textId="0EA81CBD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>5</w:t>
      </w:r>
      <w:r>
        <w:rPr>
          <w:color w:val="000000" w:themeColor="text1"/>
          <w:sz w:val="24"/>
          <w:szCs w:val="18"/>
          <w:vertAlign w:val="subscript"/>
        </w:rPr>
        <w:t xml:space="preserve">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2 градации, вводим 1</w:t>
      </w:r>
      <w:r>
        <w:rPr>
          <w:color w:val="000000" w:themeColor="text1"/>
          <w:sz w:val="24"/>
          <w:szCs w:val="18"/>
        </w:rPr>
        <w:t xml:space="preserve"> фиктивные переменные (первый-</w:t>
      </w:r>
      <w:proofErr w:type="spellStart"/>
      <w:r>
        <w:rPr>
          <w:color w:val="000000" w:themeColor="text1"/>
          <w:sz w:val="24"/>
          <w:szCs w:val="18"/>
        </w:rPr>
        <w:t>двухомнатная</w:t>
      </w:r>
      <w:proofErr w:type="spellEnd"/>
      <w:r>
        <w:rPr>
          <w:color w:val="000000" w:themeColor="text1"/>
          <w:sz w:val="24"/>
          <w:szCs w:val="18"/>
        </w:rPr>
        <w:t>):</w:t>
      </w:r>
    </w:p>
    <w:p w14:paraId="401421C1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3A5484F3" w14:textId="673653D2" w:rsidR="00C972F3" w:rsidRPr="00036085" w:rsidRDefault="00C972F3" w:rsidP="00C972F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(5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в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наблюдении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квартира </m:t>
                  </m:r>
                  <m:r>
                    <w:rPr>
                      <w:rFonts w:ascii="Cambria Math" w:hAnsi="Cambria Math"/>
                    </w:rPr>
                    <m:t>трехкомнатная</m:t>
                  </m:r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14:paraId="219348DA" w14:textId="527C1B59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lastRenderedPageBreak/>
        <w:t>X</w:t>
      </w:r>
      <w:r>
        <w:rPr>
          <w:color w:val="000000" w:themeColor="text1"/>
          <w:sz w:val="24"/>
          <w:szCs w:val="18"/>
          <w:vertAlign w:val="subscript"/>
        </w:rPr>
        <w:t>19</w:t>
      </w:r>
      <w:r>
        <w:rPr>
          <w:color w:val="000000" w:themeColor="text1"/>
          <w:sz w:val="24"/>
          <w:szCs w:val="18"/>
          <w:vertAlign w:val="subscript"/>
        </w:rPr>
        <w:t xml:space="preserve">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</w:t>
      </w:r>
      <w:r>
        <w:rPr>
          <w:color w:val="000000" w:themeColor="text1"/>
          <w:sz w:val="24"/>
          <w:szCs w:val="18"/>
        </w:rPr>
        <w:t>во двор</w:t>
      </w:r>
      <w:r>
        <w:rPr>
          <w:color w:val="000000" w:themeColor="text1"/>
          <w:sz w:val="24"/>
          <w:szCs w:val="18"/>
        </w:rPr>
        <w:t>-базовая):</w:t>
      </w:r>
    </w:p>
    <w:p w14:paraId="2A5E8F70" w14:textId="77777777" w:rsidR="00713FD8" w:rsidRDefault="00713FD8" w:rsidP="00713FD8">
      <w:pPr>
        <w:pStyle w:val="a4"/>
        <w:ind w:left="0"/>
        <w:rPr>
          <w:sz w:val="24"/>
          <w:szCs w:val="24"/>
        </w:rPr>
      </w:pPr>
    </w:p>
    <w:p w14:paraId="08B19707" w14:textId="423BFAC8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1FFBAB21" w14:textId="2280B973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во двор и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5738676B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68EFFCFF" w14:textId="1A4BF2DF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proofErr w:type="gramStart"/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>12</w:t>
      </w:r>
      <w:r>
        <w:rPr>
          <w:color w:val="000000" w:themeColor="text1"/>
          <w:sz w:val="24"/>
          <w:szCs w:val="18"/>
          <w:vertAlign w:val="subscript"/>
        </w:rPr>
        <w:t xml:space="preserve">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6 градаций, вводим 5 фиктивных переменных</w:t>
      </w:r>
      <w:r>
        <w:rPr>
          <w:color w:val="000000" w:themeColor="text1"/>
          <w:sz w:val="24"/>
          <w:szCs w:val="18"/>
        </w:rPr>
        <w:t xml:space="preserve"> (</w:t>
      </w:r>
      <w:r w:rsidR="009D013E">
        <w:rPr>
          <w:color w:val="000000" w:themeColor="text1"/>
          <w:sz w:val="24"/>
          <w:szCs w:val="18"/>
        </w:rPr>
        <w:t>кирпичный</w:t>
      </w:r>
      <w:r>
        <w:rPr>
          <w:color w:val="000000" w:themeColor="text1"/>
          <w:sz w:val="24"/>
          <w:szCs w:val="18"/>
        </w:rPr>
        <w:t>-базовая):</w:t>
      </w:r>
    </w:p>
    <w:p w14:paraId="27C4A99D" w14:textId="54AF1D47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монолитный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3EABB7B7" w14:textId="11F9A8AD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панельный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5CB3AC7D" w14:textId="690C7FFF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блочный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73ED1C69" w14:textId="4D255FAD" w:rsidR="00713FD8" w:rsidRDefault="00713FD8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кирпично-монолитный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14:paraId="2E7F3B8E" w14:textId="77777777" w:rsidR="002B3544" w:rsidRDefault="00713FD8" w:rsidP="002B3544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сталинский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  <w:bookmarkStart w:id="8" w:name="_Toc132634984"/>
    </w:p>
    <w:p w14:paraId="4435B401" w14:textId="621C7FF0" w:rsidR="002B3544" w:rsidRPr="002B3544" w:rsidRDefault="002B3544" w:rsidP="002B3544">
      <w:pPr>
        <w:pStyle w:val="1"/>
        <w:rPr>
          <w:rFonts w:cstheme="minorBidi"/>
          <w:sz w:val="24"/>
          <w:szCs w:val="24"/>
        </w:rPr>
      </w:pPr>
      <w:r>
        <w:t>Построение модели с фиктивными переменными</w:t>
      </w:r>
      <w:bookmarkEnd w:id="8"/>
    </w:p>
    <w:p w14:paraId="1B00D9AB" w14:textId="46A95D7C" w:rsidR="009D013E" w:rsidRPr="002B3544" w:rsidRDefault="009D013E" w:rsidP="00713FD8">
      <w:pPr>
        <w:pStyle w:val="a4"/>
        <w:ind w:left="0"/>
        <w:rPr>
          <w:sz w:val="24"/>
          <w:szCs w:val="24"/>
        </w:rPr>
      </w:pPr>
      <w:bookmarkStart w:id="9" w:name="_GoBack"/>
      <w:bookmarkEnd w:id="9"/>
    </w:p>
    <w:sectPr w:rsidR="009D013E" w:rsidRPr="002B3544" w:rsidSect="005570A8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D4FDA" w14:textId="77777777" w:rsidR="0058180D" w:rsidRDefault="0058180D" w:rsidP="00AA1DDB">
      <w:pPr>
        <w:spacing w:before="0" w:after="0" w:line="240" w:lineRule="auto"/>
      </w:pPr>
      <w:r>
        <w:separator/>
      </w:r>
    </w:p>
  </w:endnote>
  <w:endnote w:type="continuationSeparator" w:id="0">
    <w:p w14:paraId="38526D1A" w14:textId="77777777" w:rsidR="0058180D" w:rsidRDefault="0058180D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30C6E" w:rsidRDefault="00F30C6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544">
          <w:rPr>
            <w:noProof/>
          </w:rPr>
          <w:t>10</w:t>
        </w:r>
        <w:r>
          <w:fldChar w:fldCharType="end"/>
        </w:r>
      </w:p>
    </w:sdtContent>
  </w:sdt>
  <w:p w14:paraId="22124C5E" w14:textId="0512C957" w:rsidR="00F30C6E" w:rsidRDefault="00F30C6E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1FCA2" w14:textId="77777777" w:rsidR="0058180D" w:rsidRDefault="0058180D" w:rsidP="00AA1DDB">
      <w:pPr>
        <w:spacing w:before="0" w:after="0" w:line="240" w:lineRule="auto"/>
      </w:pPr>
      <w:r>
        <w:separator/>
      </w:r>
    </w:p>
  </w:footnote>
  <w:footnote w:type="continuationSeparator" w:id="0">
    <w:p w14:paraId="3FE295E6" w14:textId="77777777" w:rsidR="0058180D" w:rsidRDefault="0058180D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83FBB"/>
    <w:rsid w:val="00394D61"/>
    <w:rsid w:val="003A00B0"/>
    <w:rsid w:val="003A0E4D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6FE3"/>
    <w:rsid w:val="008116AB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0BD8-257C-4480-980C-4296A1AF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70</cp:revision>
  <cp:lastPrinted>2024-03-06T11:59:00Z</cp:lastPrinted>
  <dcterms:created xsi:type="dcterms:W3CDTF">2024-02-26T10:58:00Z</dcterms:created>
  <dcterms:modified xsi:type="dcterms:W3CDTF">2024-04-14T19:10:00Z</dcterms:modified>
</cp:coreProperties>
</file>