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0" w:right="0" w:firstLine="360"/>
        <w:rPr>
          <w:rFonts w:ascii="Arial" w:hAnsi="Arial"/>
          <w:b/>
          <w:sz w:val="22"/>
          <w:szCs w:val="22"/>
        </w:rPr>
      </w:pPr>
      <w:r>
        <w:rPr>
          <w:rFonts w:ascii="Arial" w:hAnsi="Arial"/>
          <w:b/>
          <w:sz w:val="22"/>
          <w:szCs w:val="22"/>
        </w:rPr>
        <w:t>Aim 1: Classify cells of the mouse cochlear nucleus by structural features.</w:t>
      </w:r>
    </w:p>
    <w:p>
      <w:pPr>
        <w:pStyle w:val="Normal"/>
        <w:spacing w:before="0" w:after="0"/>
        <w:ind w:left="0" w:right="0" w:firstLine="360"/>
        <w:rPr>
          <w:rFonts w:ascii="Arial" w:hAnsi="Arial"/>
          <w:sz w:val="22"/>
          <w:szCs w:val="22"/>
        </w:rPr>
      </w:pPr>
      <w:r>
        <w:rPr>
          <w:rFonts w:ascii="Arial" w:hAnsi="Arial"/>
          <w:sz w:val="22"/>
          <w:szCs w:val="22"/>
        </w:rPr>
      </w:r>
    </w:p>
    <w:p>
      <w:pPr>
        <w:pStyle w:val="Normal"/>
        <w:spacing w:before="0" w:after="0"/>
        <w:ind w:left="0" w:right="0" w:firstLine="360"/>
        <w:rPr>
          <w:rFonts w:ascii="Arial" w:hAnsi="Arial"/>
          <w:color w:val="FF0000"/>
          <w:sz w:val="22"/>
          <w:szCs w:val="22"/>
        </w:rPr>
      </w:pPr>
      <w:r>
        <w:rPr>
          <w:rFonts w:ascii="Arial" w:hAnsi="Arial"/>
          <w:i/>
          <w:sz w:val="22"/>
          <w:szCs w:val="22"/>
        </w:rPr>
        <w:t xml:space="preserve">Step XX: Classify neuron morphology by human and automated methods. </w:t>
      </w:r>
      <w:r>
        <w:rPr>
          <w:rFonts w:ascii="Arial" w:hAnsi="Arial"/>
          <w:i/>
          <w:color w:val="FF0000"/>
          <w:sz w:val="22"/>
          <w:szCs w:val="22"/>
        </w:rPr>
        <w:t xml:space="preserve">Human classification </w:t>
      </w:r>
      <w:r>
        <w:rPr>
          <w:rFonts w:ascii="Arial" w:hAnsi="Arial"/>
          <w:color w:val="FF0000"/>
          <w:sz w:val="22"/>
          <w:szCs w:val="22"/>
        </w:rPr>
        <w:t xml:space="preserve">takes advantage of our development of a user interface to an immersive virtual reality (IVR) system to investigate high-resolution 3D models of neurons, called BrainTrek (see (Morehead et al. 2014); Fig. 1 and Facilities and Resources section). This system allows experts to explore, inspect, compare, and interact with cell structure in similar fashion to how cells have been historically categorized, but leverages BrainTrek to implement the advantage of systematically viewing large numbers of cells. In brief, 9 human viewers (3 groups of 3 people) initially inspect 100 randomly selected ground truth neurons in randomly selected groups of ten cells. A single reference cell is randomly selected, but used for all groups, and all remaining cells are sequentially rated for similarity on a 1-5 scale (1 = most similar). Next, a consensus cell maximally dissimilar to the reference cell is used as the reference, followed by another cell maximally dissimilar to both previous groups, and so on until all cells with at least one 5-score have been tested. From these data, groups will be constructed with probabilistic assignment of each neuron. Each observer will then inspect cells as groups and indicate improperly assigned cells. This process will be evaluated for the number of iterative classifications to develop statistically reliable classes and then tested with the same observers on the remaining ground truth neurons. Protocols for assigning cell type labels will be designed as part of this program. The dataset of 3D models and their classification will enter a MySQL database for the indexing and retrieval of models and the storage of associated labels. This dataset will not only be interpreted as human classification data, but also as training and testing labels for the automated classification approaches developed in this program. Eventually, the human classification and BrainTrek will become part of an </w:t>
      </w:r>
      <w:r>
        <w:rPr>
          <w:rFonts w:ascii="Arial" w:hAnsi="Arial"/>
          <w:i/>
          <w:color w:val="FF0000"/>
          <w:sz w:val="22"/>
          <w:szCs w:val="22"/>
        </w:rPr>
        <w:t>active learning framework</w:t>
      </w:r>
      <w:r>
        <w:rPr>
          <w:rFonts w:ascii="Arial" w:hAnsi="Arial"/>
          <w:color w:val="FF0000"/>
          <w:sz w:val="22"/>
          <w:szCs w:val="22"/>
        </w:rPr>
        <w:t xml:space="preserve"> (see Fig. 3), aimed at the simultaneous discovery of new cell types, as well as the training of the corresponding automatic classifiers.</w:t>
      </w:r>
      <w:r>
        <w:pict>
          <v:rect stroked="f" strokeweight="0pt" style="position:absolute;width:180pt;height:144pt;mso-wrap-distance-left:9pt;mso-wrap-distance-right:9pt;mso-wrap-distance-top:0pt;mso-wrap-distance-bottom:0pt;margin-top:1.95pt;margin-left:6pt">
            <v:textbox>
              <w:txbxContent>
                <w:p>
                  <w:pPr>
                    <w:pStyle w:val="FrameContents"/>
                    <w:rPr>
                      <w:rFonts w:ascii="Arial" w:hAnsi="Arial"/>
                      <w:sz w:val="16"/>
                      <w:szCs w:val="16"/>
                    </w:rPr>
                  </w:pPr>
                  <w:r>
                    <w:rPr/>
                    <w:drawing>
                      <wp:inline distT="0" distB="0" distL="0" distR="0">
                        <wp:extent cx="676910" cy="9544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6910" cy="954405"/>
                                </a:xfrm>
                                <a:prstGeom prst="rect">
                                  <a:avLst/>
                                </a:prstGeom>
                                <a:noFill/>
                                <a:ln w="9525">
                                  <a:noFill/>
                                  <a:miter lim="800000"/>
                                  <a:headEnd/>
                                  <a:tailEnd/>
                                </a:ln>
                              </pic:spPr>
                            </pic:pic>
                          </a:graphicData>
                        </a:graphic>
                      </wp:inline>
                    </w:drawing>
                  </w:r>
                  <w:r>
                    <w:rPr/>
                    <w:drawing>
                      <wp:inline distT="0" distB="0" distL="0" distR="0">
                        <wp:extent cx="821055" cy="9544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821055" cy="954405"/>
                                </a:xfrm>
                                <a:prstGeom prst="rect">
                                  <a:avLst/>
                                </a:prstGeom>
                                <a:noFill/>
                                <a:ln w="9525">
                                  <a:noFill/>
                                  <a:miter lim="800000"/>
                                  <a:headEnd/>
                                  <a:tailEnd/>
                                </a:ln>
                              </pic:spPr>
                            </pic:pic>
                          </a:graphicData>
                        </a:graphic>
                      </wp:inline>
                    </w:drawing>
                  </w:r>
                  <w:r>
                    <w:rPr/>
                    <w:drawing>
                      <wp:inline distT="0" distB="0" distL="0" distR="0">
                        <wp:extent cx="596265" cy="9588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6265" cy="958850"/>
                                </a:xfrm>
                                <a:prstGeom prst="rect">
                                  <a:avLst/>
                                </a:prstGeom>
                                <a:noFill/>
                                <a:ln w="9525">
                                  <a:noFill/>
                                  <a:miter lim="800000"/>
                                  <a:headEnd/>
                                  <a:tailEnd/>
                                </a:ln>
                              </pic:spPr>
                            </pic:pic>
                          </a:graphicData>
                        </a:graphic>
                      </wp:inline>
                    </w:drawing>
                  </w:r>
                  <w:r>
                    <w:rPr/>
                    <w:br/>
                  </w:r>
                  <w:r>
                    <w:rPr>
                      <w:rFonts w:ascii="Arial" w:hAnsi="Arial"/>
                      <w:sz w:val="16"/>
                      <w:szCs w:val="16"/>
                    </w:rPr>
                    <w:t xml:space="preserve">Figure 1: </w:t>
                  </w:r>
                  <w:r>
                    <w:rPr>
                      <w:rFonts w:ascii="Arial" w:hAnsi="Arial"/>
                      <w:b/>
                      <w:sz w:val="16"/>
                      <w:szCs w:val="16"/>
                    </w:rPr>
                    <w:t>BrainTrek</w:t>
                  </w:r>
                  <w:r>
                    <w:rPr>
                      <w:rFonts w:ascii="Arial" w:hAnsi="Arial"/>
                      <w:sz w:val="16"/>
                      <w:szCs w:val="16"/>
                    </w:rPr>
                    <w:t>. Left: CAVE displaying nine cell models. Center: Close-up view with on-screen menu that allows for modification of the cell scene. Right: Tablet layout of a Nexus 7, which allows for modification of the scene with sliders and buttons.</w:t>
                  </w:r>
                </w:p>
              </w:txbxContent>
            </v:textbox>
            <w10:wrap type="square"/>
          </v:rect>
        </w:pict>
      </w:r>
    </w:p>
    <w:p>
      <w:pPr>
        <w:pStyle w:val="Normal"/>
        <w:spacing w:before="0" w:after="0"/>
        <w:ind w:left="0" w:right="0" w:firstLine="360"/>
        <w:rPr>
          <w:rFonts w:ascii="Arial" w:hAnsi="Arial"/>
          <w:sz w:val="22"/>
          <w:szCs w:val="22"/>
        </w:rPr>
      </w:pPr>
      <w:r>
        <w:rPr>
          <w:rFonts w:ascii="Arial" w:hAnsi="Arial"/>
          <w:i/>
          <w:sz w:val="22"/>
          <w:szCs w:val="22"/>
        </w:rPr>
        <w:t>Automated classification and discovery.</w:t>
      </w:r>
      <w:r>
        <w:rPr>
          <w:rFonts w:ascii="Arial" w:hAnsi="Arial"/>
          <w:sz w:val="22"/>
          <w:szCs w:val="22"/>
        </w:rPr>
        <w:t xml:space="preserve"> We propose a computer vision approach for the automated discovery of cell types, as well as the classification of cells in the CN from high-resolution 3D reconstructions of neurons, generated in Step YY. Previously, only skeletonized versions of neurons have been used for clustering analysis and classification applied to skeletonized pyramidal neurons of the somatosensory cortex in the neuromorpho.org database (Schierwagen et al. 2010; Scorcioni et al. 2008); and a supervised learning model has been applied to wild-type motor neurons in the larval ventral nerve cord of the Drosophila, but using 2D images (Chang et al. 2014). A state-of-the-art review that relates morphological cell classification to the physiological and biochemical characterizations can be found here (Armañanzas &amp; Ascoli 2015).</w:t>
      </w:r>
    </w:p>
    <w:p>
      <w:pPr>
        <w:pStyle w:val="Normal"/>
        <w:spacing w:before="0" w:after="0"/>
        <w:ind w:left="0" w:right="0" w:firstLine="360"/>
        <w:rPr>
          <w:rFonts w:ascii="Arial" w:hAnsi="Arial"/>
          <w:sz w:val="22"/>
          <w:szCs w:val="22"/>
        </w:rPr>
      </w:pPr>
      <w:r>
        <w:rPr>
          <w:rFonts w:ascii="Arial" w:hAnsi="Arial"/>
          <w:i/>
          <w:sz w:val="22"/>
          <w:szCs w:val="22"/>
        </w:rPr>
        <w:t>Neuron representation.</w:t>
      </w:r>
      <w:r>
        <w:rPr>
          <w:rFonts w:ascii="Arial" w:hAnsi="Arial"/>
          <w:sz w:val="22"/>
          <w:szCs w:val="22"/>
        </w:rPr>
        <w:t xml:space="preserve"> A model for the representation of the 3D shape of neurons that is tailored for recognition will be used. Current approaches (Bustos et al. 2005; Funkhouser et al. 2005; Tangelder &amp; Veltkamp 2007), convert the 3D point cloud into a “signature model” describing the cloud. Two relevant methods for generic 3D signatures include those based on </w:t>
      </w:r>
      <w:r>
        <w:rPr>
          <w:rFonts w:ascii="Arial" w:hAnsi="Arial"/>
          <w:i/>
          <w:sz w:val="22"/>
          <w:szCs w:val="22"/>
        </w:rPr>
        <w:t>descriptors</w:t>
      </w:r>
      <w:r>
        <w:rPr>
          <w:rFonts w:ascii="Arial" w:hAnsi="Arial"/>
          <w:sz w:val="22"/>
          <w:szCs w:val="22"/>
        </w:rPr>
        <w:t xml:space="preserve"> (Heider et al. 2011; Johnson &amp; Hebert 1999; Sun et al. 2009; Kazhdan et al. 2003; Osada et al. 2002; Chen et al. 2003), and on </w:t>
      </w:r>
      <w:r>
        <w:rPr>
          <w:rFonts w:ascii="Arial" w:hAnsi="Arial"/>
          <w:i/>
          <w:sz w:val="22"/>
          <w:szCs w:val="22"/>
        </w:rPr>
        <w:t xml:space="preserve">graphs </w:t>
      </w:r>
      <w:r>
        <w:rPr>
          <w:rFonts w:ascii="Arial" w:hAnsi="Arial"/>
          <w:sz w:val="22"/>
          <w:szCs w:val="22"/>
        </w:rPr>
        <w:t xml:space="preserve">(Tangelder &amp; Veltkamp 2007; Hilaga et al. 2001; Sundar et al. 2003; Cornea et al. 2007; Chang &amp; Kimia 2011). We will use signatures based on </w:t>
      </w:r>
      <w:r>
        <w:rPr>
          <w:rFonts w:ascii="Arial" w:hAnsi="Arial"/>
          <w:i/>
          <w:sz w:val="22"/>
          <w:szCs w:val="22"/>
        </w:rPr>
        <w:t>local descriptors</w:t>
      </w:r>
      <w:r>
        <w:rPr>
          <w:rFonts w:ascii="Arial" w:hAnsi="Arial"/>
          <w:sz w:val="22"/>
          <w:szCs w:val="22"/>
        </w:rPr>
        <w:t xml:space="preserve"> (Heider et al. 2011; Johnson &amp; Hebert 1999; Sun et al. 2009), because they are parsimonious, computationally efficient, and very effective for recognition. Graph-based methods (e.g. (Hilaga et al. 2001; Sundar et al. 2003; Cornea et al. 2007; Chang &amp; Kimia 2011) may  have greater representational power usually at a greater computational cost (the edit distance is NP-hard (Zhang et al. 1994), and computing the maximal common subgraph is even NP-complete (Garey &amp; Johnson 1990)). In particular, from a 3D point cloud we will randomly select up to </w:t>
      </w:r>
      <w:r>
        <w:rPr>
          <w:rFonts w:ascii="Arial" w:hAnsi="Arial"/>
          <w:sz w:val="22"/>
          <w:szCs w:val="22"/>
        </w:rPr>
      </w:r>
      <m:oMath xmlns:m="http://schemas.openxmlformats.org/officeDocument/2006/math">
        <m:r>
          <w:rPr>
            <w:rFonts w:ascii="Cambria Math" w:hAnsi="Cambria Math"/>
          </w:rPr>
          <m:t xml:space="preserve">n</m:t>
        </m:r>
      </m:oMath>
      <w:r>
        <w:rPr>
          <w:rFonts w:ascii="Arial" w:hAnsi="Arial"/>
          <w:sz w:val="22"/>
          <w:szCs w:val="22"/>
        </w:rPr>
        <w:t xml:space="preserve"> points and around those we will compute local descriptors called spin images (Johnson &amp; Hebert 1999). Therefore, a neuron will be represented by the descriptor vectors </w:t>
      </w:r>
      <w:r>
        <w:rPr>
          <w:rFonts w:ascii="Arial" w:hAnsi="Arial"/>
          <w:sz w:val="22"/>
          <w:szCs w:val="22"/>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Arial" w:hAnsi="Arial"/>
          <w:sz w:val="22"/>
          <w:szCs w:val="22"/>
        </w:rPr>
        <w:t>.</w:t>
      </w:r>
    </w:p>
    <w:p>
      <w:pPr>
        <w:pStyle w:val="Normal"/>
        <w:spacing w:before="0" w:after="0"/>
        <w:ind w:left="0" w:right="0" w:firstLine="360"/>
        <w:rPr>
          <w:rFonts w:ascii="Arial" w:hAnsi="Arial"/>
          <w:sz w:val="22"/>
          <w:szCs w:val="22"/>
        </w:rPr>
      </w:pPr>
      <w:r>
        <w:rPr>
          <w:rFonts w:ascii="Arial" w:hAnsi="Arial"/>
          <w:sz w:val="22"/>
          <w:szCs w:val="22"/>
        </w:rPr>
        <w:t xml:space="preserve">The set of spin images vectors will then be encoded into an improved Fisher vector (IFV) </w:t>
      </w:r>
      <w:r>
        <w:rPr>
          <w:rFonts w:ascii="Arial" w:hAnsi="Arial"/>
          <w:sz w:val="22"/>
          <w:szCs w:val="22"/>
        </w:rPr>
      </w:r>
      <m:oMath xmlns:m="http://schemas.openxmlformats.org/officeDocument/2006/math">
        <m:r>
          <w:rPr>
            <w:rFonts w:ascii="Cambria Math" w:hAnsi="Cambria Math"/>
          </w:rPr>
          <m:t xml:space="preserve">x</m:t>
        </m:r>
      </m:oMath>
      <w:r>
        <w:rPr>
          <w:rFonts w:ascii="Arial" w:hAnsi="Arial"/>
          <w:sz w:val="22"/>
          <w:szCs w:val="22"/>
        </w:rPr>
        <w:t xml:space="preserve"> (Sánchez et al. 2013), which is a state-of-the-art, highly discriminative representation that guarantees top recognition rates. Specifically, we will model the distribution of the spin images vectors by fitting a Gaussian mixture model (GMM) </w:t>
      </w:r>
      <w:r>
        <w:rPr>
          <w:rFonts w:ascii="Arial" w:hAnsi="Arial"/>
          <w:sz w:val="22"/>
          <w:szCs w:val="22"/>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Arial" w:hAnsi="Arial"/>
          <w:sz w:val="22"/>
          <w:szCs w:val="22"/>
        </w:rPr>
        <w:t xml:space="preserve"> to a set of descriptor vectors computed from a training set of neuron 3D point clouds. The Fisher vector (FV) of a spin image </w:t>
      </w:r>
      <w:r>
        <w:rPr>
          <w:rFonts w:ascii="Arial" w:hAnsi="Arial"/>
          <w:sz w:val="22"/>
          <w:szCs w:val="22"/>
        </w:rPr>
      </w:r>
      <m:oMath xmlns:m="http://schemas.openxmlformats.org/officeDocument/2006/math">
        <m:r>
          <w:rPr>
            <w:rFonts w:ascii="Cambria Math" w:hAnsi="Cambria Math"/>
          </w:rPr>
          <m:t xml:space="preserve">x</m:t>
        </m:r>
      </m:oMath>
      <w:r>
        <w:rPr>
          <w:rFonts w:ascii="Arial" w:hAnsi="Arial"/>
          <w:sz w:val="22"/>
          <w:szCs w:val="22"/>
        </w:rPr>
        <w:t xml:space="preserve">, is computed as </w:t>
      </w:r>
      <w:r>
        <w:rPr>
          <w:rFonts w:ascii="Arial" w:hAnsi="Arial"/>
          <w:sz w:val="22"/>
          <w:szCs w:val="22"/>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0.5</m:t>
            </m:r>
          </m:sup>
        </m:sSup>
        <m:sSub>
          <m:e>
            <m:r>
              <w:rPr>
                <w:rFonts w:ascii="Cambria Math" w:hAnsi="Cambria Math"/>
              </w:rPr>
              <m:t xml:space="preserve">∇</m:t>
            </m:r>
          </m:e>
          <m:sub>
            <m:r>
              <w:rPr>
                <w:rFonts w:ascii="Cambria Math" w:hAnsi="Cambria Math"/>
              </w:rPr>
              <m:t xml:space="preserve">θ</m:t>
            </m:r>
          </m:sub>
        </m:sSub>
        <m:r>
          <w:rPr>
            <w:rFonts w:ascii="Cambria Math" w:hAnsi="Cambria Math"/>
          </w:rPr>
          <m:t xml:space="preserve">log</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Arial" w:hAnsi="Arial"/>
          <w:sz w:val="22"/>
          <w:szCs w:val="22"/>
        </w:rPr>
        <w:t xml:space="preserve">, where </w:t>
      </w:r>
      <w:r>
        <w:rPr>
          <w:rFonts w:ascii="Arial" w:hAnsi="Arial"/>
          <w:sz w:val="22"/>
          <w:szCs w:val="22"/>
        </w:rPr>
      </w:r>
      <m:oMath xmlns:m="http://schemas.openxmlformats.org/officeDocument/2006/math">
        <m:r>
          <w:rPr>
            <w:rFonts w:ascii="Cambria Math" w:hAnsi="Cambria Math"/>
          </w:rPr>
          <m:t xml:space="preserve">θ</m:t>
        </m:r>
      </m:oMath>
      <w:r>
        <w:rPr>
          <w:rFonts w:ascii="Arial" w:hAnsi="Arial"/>
          <w:sz w:val="22"/>
          <w:szCs w:val="22"/>
        </w:rPr>
        <w:t xml:space="preserve"> are the parameters of the GMM, and </w:t>
      </w:r>
      <w:r>
        <w:rPr>
          <w:rFonts w:ascii="Arial" w:hAnsi="Arial"/>
          <w:sz w:val="22"/>
          <w:szCs w:val="22"/>
        </w:rPr>
      </w:r>
      <m:oMath xmlns:m="http://schemas.openxmlformats.org/officeDocument/2006/math">
        <m:r>
          <w:rPr>
            <w:rFonts w:ascii="Cambria Math" w:hAnsi="Cambria Math"/>
          </w:rPr>
          <m:t xml:space="preserve">H</m:t>
        </m:r>
      </m:oMath>
      <w:r>
        <w:rPr>
          <w:rFonts w:ascii="Arial" w:hAnsi="Arial"/>
          <w:sz w:val="22"/>
          <w:szCs w:val="22"/>
        </w:rPr>
        <w:t xml:space="preserve"> is the Fisher information matrix, here used for whitening the data. The FV expresses how much </w:t>
      </w:r>
      <w:r>
        <w:rPr>
          <w:rFonts w:ascii="Arial" w:hAnsi="Arial"/>
          <w:sz w:val="22"/>
          <w:szCs w:val="22"/>
        </w:rPr>
      </w:r>
      <m:oMath xmlns:m="http://schemas.openxmlformats.org/officeDocument/2006/math">
        <m:r>
          <w:rPr>
            <w:rFonts w:ascii="Cambria Math" w:hAnsi="Cambria Math"/>
          </w:rPr>
          <m:t xml:space="preserve">x</m:t>
        </m:r>
      </m:oMath>
      <w:r>
        <w:rPr>
          <w:rFonts w:ascii="Arial" w:hAnsi="Arial"/>
          <w:sz w:val="22"/>
          <w:szCs w:val="22"/>
        </w:rPr>
        <w:t xml:space="preserve">  affects the maximum likelihood estimation of the parameters </w:t>
      </w:r>
      <w:r>
        <w:rPr>
          <w:rFonts w:ascii="Arial" w:hAnsi="Arial"/>
          <w:sz w:val="22"/>
          <w:szCs w:val="22"/>
        </w:rPr>
      </w:r>
      <m:oMath xmlns:m="http://schemas.openxmlformats.org/officeDocument/2006/math">
        <m:r>
          <w:rPr>
            <w:rFonts w:ascii="Cambria Math" w:hAnsi="Cambria Math"/>
          </w:rPr>
          <m:t xml:space="preserve">θ</m:t>
        </m:r>
      </m:oMath>
      <w:r>
        <w:rPr>
          <w:rFonts w:ascii="Arial" w:hAnsi="Arial"/>
          <w:sz w:val="22"/>
          <w:szCs w:val="22"/>
        </w:rPr>
        <w:t xml:space="preserve">. The IFV </w:t>
      </w:r>
      <w:r>
        <w:rPr>
          <w:rFonts w:ascii="Arial" w:hAnsi="Arial"/>
          <w:sz w:val="22"/>
          <w:szCs w:val="22"/>
        </w:rPr>
      </w:r>
      <m:oMath xmlns:m="http://schemas.openxmlformats.org/officeDocument/2006/math">
        <m:r>
          <w:rPr>
            <w:rFonts w:ascii="Cambria Math" w:hAnsi="Cambria Math"/>
          </w:rPr>
          <m:t xml:space="preserve">ϕ</m:t>
        </m:r>
      </m:oMath>
      <w:r>
        <w:rPr>
          <w:rFonts w:ascii="Arial" w:hAnsi="Arial"/>
          <w:sz w:val="22"/>
          <w:szCs w:val="22"/>
        </w:rPr>
        <w:t xml:space="preserve"> representing a neuron is a normalized average of the Fisher vectors computed from each of the spin images vectors. The representation based on IFV has two main advantages with respect to other effective models, such as the bag-of-words model (Tang &amp; Godil 2012). In particular, it provides better recognition accuracies, and it is more scalable because it can work very effectively with machine learning techniques based on the simple Euclidean distance, without requiring to define an ad-hoc distance with higher computational requirements.</w:t>
      </w:r>
      <w:r>
        <w:pict>
          <v:rect stroked="f" strokeweight="0pt" style="position:absolute;width:180pt;height:125.95pt;mso-wrap-distance-left:9pt;mso-wrap-distance-right:9pt;mso-wrap-distance-top:0pt;mso-wrap-distance-bottom:0pt;margin-top:-8.65pt;margin-left:0.05pt">
            <v:textbox>
              <w:txbxContent>
                <w:p>
                  <w:pPr>
                    <w:pStyle w:val="FrameContents"/>
                    <w:rPr>
                      <w:rFonts w:ascii="Arial" w:hAnsi="Arial"/>
                      <w:sz w:val="16"/>
                      <w:szCs w:val="16"/>
                    </w:rPr>
                  </w:pPr>
                  <w:r>
                    <w:rPr/>
                    <w:br/>
                  </w:r>
                  <w:r>
                    <w:rPr>
                      <w:rFonts w:ascii="Arial" w:hAnsi="Arial"/>
                      <w:sz w:val="16"/>
                      <w:szCs w:val="16"/>
                    </w:rPr>
                    <w:t xml:space="preserve">Figure 2: </w:t>
                  </w:r>
                  <w:r>
                    <w:rPr>
                      <w:rFonts w:ascii="Arial" w:hAnsi="Arial"/>
                      <w:b/>
                      <w:sz w:val="16"/>
                      <w:szCs w:val="16"/>
                    </w:rPr>
                    <w:t>CellCompare</w:t>
                  </w:r>
                  <w:r>
                    <w:rPr>
                      <w:rFonts w:ascii="Arial" w:hAnsi="Arial"/>
                      <w:sz w:val="16"/>
                      <w:szCs w:val="16"/>
                    </w:rPr>
                    <w:t>. Left: CAVE displaying BrainTrek running the CellCompare tool for cell comparison and similarity evaluation.</w:t>
                  </w:r>
                </w:p>
              </w:txbxContent>
            </v:textbox>
            <w10:wrap type="square"/>
          </v:rect>
        </w:pict>
      </w:r>
    </w:p>
    <w:p>
      <w:pPr>
        <w:pStyle w:val="Normal"/>
        <w:spacing w:before="0" w:after="0"/>
        <w:ind w:left="0" w:right="0" w:firstLine="360"/>
        <w:rPr>
          <w:rFonts w:ascii="Arial" w:hAnsi="Arial"/>
          <w:sz w:val="22"/>
          <w:szCs w:val="22"/>
        </w:rPr>
      </w:pPr>
      <w:r>
        <w:rPr>
          <w:rFonts w:ascii="Arial" w:hAnsi="Arial"/>
          <w:i/>
          <w:sz w:val="22"/>
          <w:szCs w:val="22"/>
        </w:rPr>
        <w:t>Cell types discovery.</w:t>
      </w:r>
      <w:r>
        <w:rPr>
          <w:rFonts w:ascii="Arial" w:hAnsi="Arial"/>
          <w:sz w:val="22"/>
          <w:szCs w:val="22"/>
        </w:rPr>
        <w:t xml:space="preserve"> We will use an unsupervised learning technique for discovering the presence of potentially new cell types, as characterized by the same morphological features. Specifically, we will randomly sample a training set of neurons, uniformly from the CN volume, and we will characterize each of them by an IFV. We will then apply a clustering technique to the training set of IFV’s. However, we cannot apply a standard k-means clustering, because it requires </w:t>
      </w:r>
      <w:r>
        <w:rPr>
          <w:rFonts w:ascii="Arial" w:hAnsi="Arial"/>
          <w:i/>
          <w:sz w:val="22"/>
          <w:szCs w:val="22"/>
        </w:rPr>
        <w:t>a priori</w:t>
      </w:r>
      <w:r>
        <w:rPr>
          <w:rFonts w:ascii="Arial" w:hAnsi="Arial"/>
          <w:sz w:val="22"/>
          <w:szCs w:val="22"/>
        </w:rPr>
        <w:t xml:space="preserve"> knowledge of the number of clusters, and is sensitive to the initialization conditions. Instead, we use a technique called affinity propagation (Frey &amp; Dueck 2007). This one can estimate the number of clusters automatically, and is insensitive to the initial conditions. In particular, since we use IFV’s, we define the similarity between two neurons </w:t>
      </w:r>
      <w:r>
        <w:rPr>
          <w:rFonts w:ascii="Arial" w:hAnsi="Arial"/>
          <w:sz w:val="22"/>
          <w:szCs w:val="22"/>
        </w:rPr>
      </w:r>
      <m:oMath xmlns:m="http://schemas.openxmlformats.org/officeDocument/2006/math">
        <m:r>
          <w:rPr>
            <w:rFonts w:ascii="Cambria Math" w:hAnsi="Cambria Math"/>
          </w:rPr>
          <m:t xml:space="preserve">i</m:t>
        </m:r>
      </m:oMath>
      <w:r>
        <w:rPr>
          <w:rFonts w:ascii="Arial" w:hAnsi="Arial"/>
          <w:sz w:val="22"/>
          <w:szCs w:val="22"/>
        </w:rPr>
        <w:t xml:space="preserve"> and </w:t>
      </w:r>
      <w:r>
        <w:rPr>
          <w:rFonts w:ascii="Arial" w:hAnsi="Arial"/>
          <w:sz w:val="22"/>
          <w:szCs w:val="22"/>
        </w:rPr>
      </w:r>
      <m:oMath xmlns:m="http://schemas.openxmlformats.org/officeDocument/2006/math">
        <m:r>
          <w:rPr>
            <w:rFonts w:ascii="Cambria Math" w:hAnsi="Cambria Math"/>
          </w:rPr>
          <m:t xml:space="preserve">j</m:t>
        </m:r>
      </m:oMath>
      <w:r>
        <w:rPr>
          <w:rFonts w:ascii="Arial" w:hAnsi="Arial"/>
          <w:sz w:val="22"/>
          <w:szCs w:val="22"/>
        </w:rPr>
        <w:t xml:space="preserve">, as </w:t>
      </w:r>
      <w:r>
        <w:rPr>
          <w:rFonts w:ascii="Arial" w:hAnsi="Arial"/>
          <w:sz w:val="22"/>
          <w:szCs w:val="22"/>
        </w:rPr>
      </w:r>
      <m:oMath xmlns:m="http://schemas.openxmlformats.org/officeDocument/2006/math">
        <m:r>
          <w:rPr>
            <w:rFonts w:ascii="Cambria Math" w:hAnsi="Cambria Math"/>
          </w:rPr>
          <m:t xml:space="preserve">s</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j</m:t>
                    </m:r>
                  </m:sub>
                </m:sSub>
              </m:e>
            </m:d>
          </m:e>
          <m:sup>
            <m:r>
              <w:rPr>
                <w:rFonts w:ascii="Cambria Math" w:hAnsi="Cambria Math"/>
              </w:rPr>
              <m:t xml:space="preserve">2</m:t>
            </m:r>
          </m:sup>
        </m:sSup>
      </m:oMath>
      <w:r>
        <w:rPr>
          <w:rFonts w:ascii="Arial" w:hAnsi="Arial"/>
          <w:sz w:val="22"/>
          <w:szCs w:val="22"/>
        </w:rPr>
        <w:t>. Finally, 3 neuroscientists will use a tool called CellCompare, which we have already developed in house, and that allows to visually compare a pair of cells, randomly selected from two different clusters, by using our IVR BrainTrek system, for an enhanced immersive comparison experience in 3D. CellCompare allows to interactively record similarity scores from 1 to 5 between two cells. We then compute the average similarity score between every pair of clusters, and if higher than a threshold, the two will be merged. The process will be repeated until no more clusters will be in need to be merged. The resulting clusters will represent the cell types that have been discovered.</w:t>
      </w:r>
    </w:p>
    <w:p>
      <w:pPr>
        <w:pStyle w:val="Normal"/>
        <w:spacing w:before="0" w:after="0"/>
        <w:ind w:left="0" w:right="0" w:firstLine="360"/>
        <w:rPr>
          <w:rFonts w:ascii="Arial" w:hAnsi="Arial"/>
          <w:sz w:val="22"/>
          <w:szCs w:val="22"/>
        </w:rPr>
      </w:pPr>
      <w:r>
        <w:rPr>
          <w:rFonts w:ascii="Arial" w:hAnsi="Arial"/>
          <w:i/>
          <w:sz w:val="22"/>
          <w:szCs w:val="22"/>
        </w:rPr>
        <w:t>Cell classification.</w:t>
      </w:r>
      <w:r>
        <w:rPr>
          <w:rFonts w:ascii="Arial" w:hAnsi="Arial"/>
          <w:sz w:val="22"/>
          <w:szCs w:val="22"/>
        </w:rPr>
        <w:t xml:space="preserve"> Since every neuron in the training set has been assigned a cell type label, we can use a supervised learning approach to classify the remaining cells in the CN volume. In particular, we are going to use two approaches. The first one, will use the labeled training set as the prior knowledge for classifying other neurons based on a k-nearest neighbor (KNN) approach, and we will use approximate nearest neighbor techniques based on k-d trees for the efficient assignment cell type labels (Muja &amp; Lowe 2014). In the second approach, we are going to train a multi-class support vector machine (SVM) (Schölkopf &amp; Smola 2001), and since we are using IFV’s we can efficiently leverage linear kernels, as it is done in computationally efficient library LIBLINEAR (Fan et al. 2008).</w:t>
      </w:r>
      <w:r>
        <w:pict>
          <v:rect stroked="f" strokeweight="0pt" style="position:absolute;width:161.95pt;height:117.2pt;mso-wrap-distance-left:9pt;mso-wrap-distance-right:9pt;mso-wrap-distance-top:0pt;mso-wrap-distance-bottom:0pt;margin-top:88.55pt;margin-left:6.2pt">
            <v:textbox>
              <w:txbxContent>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68"/>
                    <w:gridCol w:w="821"/>
                    <w:gridCol w:w="820"/>
                    <w:gridCol w:w="818"/>
                  </w:tblGrid>
                  <w:tr>
                    <w:trPr>
                      <w:cantSplit w:val="false"/>
                    </w:trPr>
                    <w:tc>
                      <w:tcPr>
                        <w:tcW w:w="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245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jc w:val="center"/>
                          <w:rPr>
                            <w:sz w:val="16"/>
                            <w:szCs w:val="16"/>
                          </w:rPr>
                        </w:pPr>
                        <w:r>
                          <w:rPr>
                            <w:sz w:val="16"/>
                            <w:szCs w:val="16"/>
                          </w:rPr>
                          <w:t>Discovery Accuracy</w:t>
                        </w:r>
                      </w:p>
                    </w:tc>
                  </w:tr>
                  <w:tr>
                    <w:trPr>
                      <w:cantSplit w:val="false"/>
                    </w:trPr>
                    <w:tc>
                      <w:tcPr>
                        <w:tcW w:w="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 Modes</w:t>
                        </w:r>
                      </w:p>
                    </w:tc>
                    <w:tc>
                      <w:tcPr>
                        <w:tcW w:w="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2</w:t>
                        </w:r>
                      </w:p>
                    </w:tc>
                    <w:tc>
                      <w:tcPr>
                        <w:tcW w:w="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3</w:t>
                        </w:r>
                      </w:p>
                    </w:tc>
                    <w:tc>
                      <w:tcPr>
                        <w:tcW w:w="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4</w:t>
                        </w:r>
                      </w:p>
                    </w:tc>
                    <w:tc>
                      <w:tcPr>
                        <w:tcW w:w="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6</w:t>
                        </w:r>
                      </w:p>
                    </w:tc>
                    <w:tc>
                      <w:tcPr>
                        <w:tcW w:w="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Average</w:t>
                        </w:r>
                      </w:p>
                    </w:tc>
                    <w:tc>
                      <w:tcPr>
                        <w:tcW w:w="8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bl>
                <w:p>
                  <w:pPr>
                    <w:pStyle w:val="FrameContents"/>
                    <w:rPr>
                      <w:rFonts w:ascii="Arial" w:hAnsi="Arial"/>
                      <w:sz w:val="16"/>
                      <w:szCs w:val="16"/>
                    </w:rPr>
                  </w:pPr>
                  <w:r>
                    <w:rPr>
                      <w:sz w:val="16"/>
                      <w:szCs w:val="16"/>
                    </w:rPr>
                    <w:br/>
                  </w:r>
                  <w:r>
                    <w:rPr>
                      <w:rFonts w:ascii="Arial" w:hAnsi="Arial"/>
                      <w:sz w:val="16"/>
                      <w:szCs w:val="16"/>
                    </w:rPr>
                    <w:t xml:space="preserve">Table 1: </w:t>
                  </w:r>
                  <w:r>
                    <w:rPr>
                      <w:rFonts w:ascii="Arial" w:hAnsi="Arial"/>
                      <w:b/>
                      <w:sz w:val="16"/>
                      <w:szCs w:val="16"/>
                    </w:rPr>
                    <w:t>Discovery Accuracy</w:t>
                  </w:r>
                  <w:r>
                    <w:rPr>
                      <w:rFonts w:ascii="Arial" w:hAnsi="Arial"/>
                      <w:sz w:val="16"/>
                      <w:szCs w:val="16"/>
                    </w:rPr>
                    <w:t>. Maximum percentage of cells aggregated into the correct age range.</w:t>
                  </w:r>
                </w:p>
              </w:txbxContent>
            </v:textbox>
            <w10:wrap type="square"/>
          </v:rect>
        </w:pict>
      </w:r>
    </w:p>
    <w:p>
      <w:pPr>
        <w:pStyle w:val="Normal"/>
        <w:ind w:left="0" w:right="0" w:firstLine="360"/>
        <w:rPr>
          <w:rFonts w:ascii="Arial" w:hAnsi="Arial"/>
          <w:sz w:val="22"/>
          <w:szCs w:val="22"/>
        </w:rPr>
      </w:pPr>
      <w:r>
        <w:rPr>
          <w:rFonts w:ascii="Arial" w:hAnsi="Arial"/>
          <w:i/>
          <w:sz w:val="22"/>
          <w:szCs w:val="22"/>
        </w:rPr>
        <w:t>Preliminary results.</w:t>
      </w:r>
      <w:r>
        <w:rPr>
          <w:rFonts w:ascii="Arial" w:hAnsi="Arial"/>
          <w:sz w:val="22"/>
          <w:szCs w:val="22"/>
        </w:rPr>
        <w:t xml:space="preserve"> We have a preliminary implementation of the entire cell classification pipeline. We have a dataset with the point clouds of XX mouse MNTB neuron cells of the same type but from 4 age groups (postnatal day 2, 3, 4, and 6) (Holcomb et al. 2013), extracted from stacks of images of SBEM data (Helmstaedter et al. 2011). We have tested the pipeline in 5-fold cross-validation. From each cell we have </w:t>
      </w:r>
      <w:bookmarkStart w:id="0" w:name="_GoBack"/>
      <w:bookmarkEnd w:id="0"/>
      <w:r>
        <w:rPr>
          <w:rFonts w:ascii="Arial" w:hAnsi="Arial"/>
          <w:sz w:val="22"/>
          <w:szCs w:val="22"/>
        </w:rPr>
        <w:t>pooled YY local descriptors, and we have learned a GMM with YY, YY, and YY modes. Table 1 reports the accuracy with which we discover cell ages by aggregating the cell clusters. The similarity threshold for cluster aggregation was set to YY. Table 2 reports the classification accuracy on the testing set for the KNN (with K=YY), and the SVM approaches. As it can been seen these preliminary results are very encouraging and suggest that this is a viable approach for processing the neurons in the entire CN volume.</w:t>
      </w:r>
      <w:r>
        <w:pict>
          <v:rect stroked="f" strokeweight="0pt" style="position:absolute;width:198.2pt;height:108pt;mso-wrap-distance-left:9pt;mso-wrap-distance-right:9pt;mso-wrap-distance-top:0pt;mso-wrap-distance-bottom:0pt;margin-top:100.15pt;margin-left:-171.45pt">
            <v:textbox>
              <w:txbxContent>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28"/>
                    <w:gridCol w:w="366"/>
                    <w:gridCol w:w="526"/>
                    <w:gridCol w:w="527"/>
                    <w:gridCol w:w="1"/>
                    <w:gridCol w:w="526"/>
                    <w:gridCol w:w="528"/>
                    <w:gridCol w:w="529"/>
                  </w:tblGrid>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142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jc w:val="center"/>
                          <w:rPr>
                            <w:sz w:val="16"/>
                            <w:szCs w:val="16"/>
                          </w:rPr>
                        </w:pPr>
                        <w:r>
                          <w:rPr>
                            <w:sz w:val="16"/>
                            <w:szCs w:val="16"/>
                          </w:rPr>
                          <w:t>KNN Accuracy</w:t>
                        </w:r>
                      </w:p>
                    </w:tc>
                    <w:tc>
                      <w:tcPr>
                        <w:tcW w:w="158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jc w:val="center"/>
                          <w:rPr>
                            <w:sz w:val="16"/>
                            <w:szCs w:val="16"/>
                          </w:rPr>
                        </w:pPr>
                        <w:r>
                          <w:rPr>
                            <w:sz w:val="16"/>
                            <w:szCs w:val="16"/>
                          </w:rPr>
                          <w:t>SVM Accuracy</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 Modes</w:t>
                        </w:r>
                      </w:p>
                    </w:tc>
                    <w:tc>
                      <w:tcPr>
                        <w:tcW w:w="3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2</w:t>
                        </w:r>
                      </w:p>
                    </w:tc>
                    <w:tc>
                      <w:tcPr>
                        <w:tcW w:w="3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3</w:t>
                        </w:r>
                      </w:p>
                    </w:tc>
                    <w:tc>
                      <w:tcPr>
                        <w:tcW w:w="3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4</w:t>
                        </w:r>
                      </w:p>
                    </w:tc>
                    <w:tc>
                      <w:tcPr>
                        <w:tcW w:w="3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Age 6</w:t>
                        </w:r>
                      </w:p>
                    </w:tc>
                    <w:tc>
                      <w:tcPr>
                        <w:tcW w:w="3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t>Average</w:t>
                        </w:r>
                      </w:p>
                    </w:tc>
                    <w:tc>
                      <w:tcPr>
                        <w:tcW w:w="3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c>
                      <w:tcPr>
                        <w:tcW w:w="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rameContents"/>
                          <w:spacing w:before="0" w:after="0"/>
                          <w:rPr>
                            <w:sz w:val="16"/>
                            <w:szCs w:val="16"/>
                          </w:rPr>
                        </w:pPr>
                        <w:r>
                          <w:rPr>
                            <w:sz w:val="16"/>
                            <w:szCs w:val="16"/>
                          </w:rPr>
                        </w:r>
                      </w:p>
                    </w:tc>
                  </w:tr>
                </w:tbl>
                <w:p>
                  <w:pPr>
                    <w:pStyle w:val="FrameContents"/>
                    <w:rPr>
                      <w:rFonts w:ascii="Arial" w:hAnsi="Arial"/>
                      <w:sz w:val="16"/>
                      <w:szCs w:val="16"/>
                    </w:rPr>
                  </w:pPr>
                  <w:r>
                    <w:rPr>
                      <w:sz w:val="16"/>
                      <w:szCs w:val="16"/>
                    </w:rPr>
                    <w:br/>
                  </w:r>
                  <w:r>
                    <w:rPr>
                      <w:rFonts w:ascii="Arial" w:hAnsi="Arial"/>
                      <w:sz w:val="16"/>
                      <w:szCs w:val="16"/>
                    </w:rPr>
                    <w:t xml:space="preserve">Table 2: </w:t>
                  </w:r>
                  <w:r>
                    <w:rPr>
                      <w:rFonts w:ascii="Arial" w:hAnsi="Arial"/>
                      <w:b/>
                      <w:sz w:val="16"/>
                      <w:szCs w:val="16"/>
                    </w:rPr>
                    <w:t>Classification Accuracy</w:t>
                  </w:r>
                  <w:r>
                    <w:rPr>
                      <w:rFonts w:ascii="Arial" w:hAnsi="Arial"/>
                      <w:sz w:val="16"/>
                      <w:szCs w:val="16"/>
                    </w:rPr>
                    <w:t>. Accuracy with which we classify cell age.</w:t>
                  </w:r>
                </w:p>
              </w:txbxContent>
            </v:textbox>
            <w10:wrap type="square"/>
          </v:rect>
        </w:pict>
      </w:r>
    </w:p>
    <w:p>
      <w:pPr>
        <w:pStyle w:val="Normal"/>
        <w:tabs>
          <w:tab w:val="left" w:pos="2700" w:leader="none"/>
        </w:tabs>
        <w:ind w:left="0" w:right="0" w:firstLine="360"/>
        <w:rPr>
          <w:rFonts w:ascii="Arial" w:hAnsi="Arial"/>
          <w:sz w:val="22"/>
          <w:szCs w:val="22"/>
        </w:rPr>
      </w:pPr>
      <w:r>
        <w:rPr>
          <w:rFonts w:ascii="Arial" w:hAnsi="Arial"/>
          <w:sz w:val="22"/>
          <w:szCs w:val="22"/>
        </w:rPr>
      </w:r>
    </w:p>
    <w:p>
      <w:pPr>
        <w:pStyle w:val="Normal"/>
        <w:ind w:left="0" w:right="0" w:firstLine="360"/>
        <w:rPr>
          <w:rFonts w:ascii="Arial" w:hAnsi="Arial"/>
          <w:sz w:val="22"/>
          <w:szCs w:val="22"/>
        </w:rPr>
      </w:pPr>
      <w:r>
        <w:rPr>
          <w:rFonts w:ascii="Arial" w:hAnsi="Arial"/>
          <w:sz w:val="22"/>
          <w:szCs w:val="22"/>
        </w:rPr>
      </w:r>
    </w:p>
    <w:p>
      <w:pPr>
        <w:pStyle w:val="Normal"/>
        <w:ind w:left="0" w:right="0" w:firstLine="360"/>
        <w:jc w:val="center"/>
        <w:rPr>
          <w:rFonts w:ascii="Arial" w:hAnsi="Arial"/>
          <w:b/>
          <w:sz w:val="22"/>
          <w:szCs w:val="22"/>
        </w:rPr>
      </w:pPr>
      <w:r>
        <w:rPr>
          <w:rFonts w:ascii="Arial" w:hAnsi="Arial"/>
          <w:b/>
          <w:sz w:val="22"/>
          <w:szCs w:val="22"/>
        </w:rPr>
        <w:t>References</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Armañanzas, R. &amp; Ascoli, G.A., 2015. Towards the automatic classification of neurons. </w:t>
      </w:r>
      <w:r>
        <w:rPr>
          <w:rFonts w:eastAsia="Times New Roman" w:cs="Arial" w:ascii="Arial" w:hAnsi="Arial"/>
          <w:i/>
          <w:iCs/>
          <w:sz w:val="22"/>
        </w:rPr>
        <w:t>Trends in Neurosciences</w:t>
      </w:r>
      <w:r>
        <w:rPr>
          <w:rFonts w:eastAsia="Times New Roman" w:cs="Arial" w:ascii="Arial" w:hAnsi="Arial"/>
          <w:sz w:val="22"/>
        </w:rPr>
        <w:t>, 38(5), pp.307–318. Available at: http://dx.doi.org/10.1016/j.tins.2015.02.004.</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Bustos, B. et al., 2005. Feature-based similarity search in 3D object databases. </w:t>
      </w:r>
      <w:r>
        <w:rPr>
          <w:rFonts w:eastAsia="Times New Roman" w:cs="Arial" w:ascii="Arial" w:hAnsi="Arial"/>
          <w:i/>
          <w:iCs/>
          <w:sz w:val="22"/>
        </w:rPr>
        <w:t>ACM Computing Surveys</w:t>
      </w:r>
      <w:r>
        <w:rPr>
          <w:rFonts w:eastAsia="Times New Roman" w:cs="Arial" w:ascii="Arial" w:hAnsi="Arial"/>
          <w:sz w:val="22"/>
        </w:rPr>
        <w:t>, 37(4), pp.345–387.</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Chang, M.-C. &amp; Kimia, B.B., 2011. Measuring 3D shape similarity by graph-based matching of the medial scaffolds. </w:t>
      </w:r>
      <w:r>
        <w:rPr>
          <w:rFonts w:eastAsia="Times New Roman" w:cs="Arial" w:ascii="Arial" w:hAnsi="Arial"/>
          <w:i/>
          <w:iCs/>
          <w:sz w:val="22"/>
        </w:rPr>
        <w:t>Computer Vision and Image Understanding</w:t>
      </w:r>
      <w:r>
        <w:rPr>
          <w:rFonts w:eastAsia="Times New Roman" w:cs="Arial" w:ascii="Arial" w:hAnsi="Arial"/>
          <w:sz w:val="22"/>
        </w:rPr>
        <w:t>, 115(5), pp.707–720.</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Chang, X. et al., 2014. Part-based motor neuron recognition in the Drosophila ventral nerve cord. </w:t>
      </w:r>
      <w:r>
        <w:rPr>
          <w:rFonts w:eastAsia="Times New Roman" w:cs="Arial" w:ascii="Arial" w:hAnsi="Arial"/>
          <w:i/>
          <w:iCs/>
          <w:sz w:val="22"/>
        </w:rPr>
        <w:t>NeuroImage</w:t>
      </w:r>
      <w:r>
        <w:rPr>
          <w:rFonts w:eastAsia="Times New Roman" w:cs="Arial" w:ascii="Arial" w:hAnsi="Arial"/>
          <w:sz w:val="22"/>
        </w:rPr>
        <w:t>, 90C, pp.33–42.</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Chen, D.-Y. et al., 2003. On Visual Similarity Based 3D Model Retrieval. </w:t>
      </w:r>
      <w:r>
        <w:rPr>
          <w:rFonts w:eastAsia="Times New Roman" w:cs="Arial" w:ascii="Arial" w:hAnsi="Arial"/>
          <w:i/>
          <w:iCs/>
          <w:sz w:val="22"/>
        </w:rPr>
        <w:t>Computer Graphics Forum</w:t>
      </w:r>
      <w:r>
        <w:rPr>
          <w:rFonts w:eastAsia="Times New Roman" w:cs="Arial" w:ascii="Arial" w:hAnsi="Arial"/>
          <w:sz w:val="22"/>
        </w:rPr>
        <w:t>, 22(3), pp.223–232.</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Cornea, N.D., Silver, D. &amp; Min, P., 2007. Curve-skeleton properties, applications, and algorithms. </w:t>
      </w:r>
      <w:r>
        <w:rPr>
          <w:rFonts w:eastAsia="Times New Roman" w:cs="Arial" w:ascii="Arial" w:hAnsi="Arial"/>
          <w:i/>
          <w:iCs/>
          <w:sz w:val="22"/>
        </w:rPr>
        <w:t>IEEE transactions on visualization and computer graphics</w:t>
      </w:r>
      <w:r>
        <w:rPr>
          <w:rFonts w:eastAsia="Times New Roman" w:cs="Arial" w:ascii="Arial" w:hAnsi="Arial"/>
          <w:sz w:val="22"/>
        </w:rPr>
        <w:t>, 13(3), pp.530–48.</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Fan, R.-E. et al., 2008. LIBLINEAR: A Library for Large Linear Classification. </w:t>
      </w:r>
      <w:r>
        <w:rPr>
          <w:rFonts w:eastAsia="Times New Roman" w:cs="Arial" w:ascii="Arial" w:hAnsi="Arial"/>
          <w:i/>
          <w:iCs/>
          <w:sz w:val="22"/>
        </w:rPr>
        <w:t>J. Mach. Learn. Res.</w:t>
      </w:r>
      <w:r>
        <w:rPr>
          <w:rFonts w:eastAsia="Times New Roman" w:cs="Arial" w:ascii="Arial" w:hAnsi="Arial"/>
          <w:sz w:val="22"/>
        </w:rPr>
        <w:t>, 9, pp.1871–1874. Available at: http://dl.acm.org/citation.cfm?id=1390681.1442794.</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Frey, B.J. &amp; Dueck, D., 2007. Clustering by Passing Messages Between Data Points. </w:t>
      </w:r>
      <w:r>
        <w:rPr>
          <w:rFonts w:eastAsia="Times New Roman" w:cs="Arial" w:ascii="Arial" w:hAnsi="Arial"/>
          <w:i/>
          <w:iCs/>
          <w:sz w:val="22"/>
        </w:rPr>
        <w:t>Science</w:t>
      </w:r>
      <w:r>
        <w:rPr>
          <w:rFonts w:eastAsia="Times New Roman" w:cs="Arial" w:ascii="Arial" w:hAnsi="Arial"/>
          <w:sz w:val="22"/>
        </w:rPr>
        <w:t>, 315(5814), pp.972–976. Available at: http://science.sciencemag.org/content/315/5814/972.abstract.</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Funkhouser, T. et al., 2005. Shape-based retrieval and analysis of 3d models. </w:t>
      </w:r>
      <w:r>
        <w:rPr>
          <w:rFonts w:eastAsia="Times New Roman" w:cs="Arial" w:ascii="Arial" w:hAnsi="Arial"/>
          <w:i/>
          <w:iCs/>
          <w:sz w:val="22"/>
        </w:rPr>
        <w:t>Communications of the ACM</w:t>
      </w:r>
      <w:r>
        <w:rPr>
          <w:rFonts w:eastAsia="Times New Roman" w:cs="Arial" w:ascii="Arial" w:hAnsi="Arial"/>
          <w:sz w:val="22"/>
        </w:rPr>
        <w:t>, 48(6), p.58.</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Garey, M.R. &amp; Johnson, D.S., 1990. </w:t>
      </w:r>
      <w:r>
        <w:rPr>
          <w:rFonts w:eastAsia="Times New Roman" w:cs="Arial" w:ascii="Arial" w:hAnsi="Arial"/>
          <w:i/>
          <w:iCs/>
          <w:sz w:val="22"/>
        </w:rPr>
        <w:t>Computers and Intractability; A Guide to the Theory of NP-Completeness</w:t>
      </w:r>
      <w:r>
        <w:rPr>
          <w:rFonts w:eastAsia="Times New Roman" w:cs="Arial" w:ascii="Arial" w:hAnsi="Arial"/>
          <w:sz w:val="22"/>
        </w:rPr>
        <w:t>, W. H. Freeman &amp; Co.</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Heider, P. et al., 2011. Local shape descriptors, a survey and evaluation. In </w:t>
      </w:r>
      <w:r>
        <w:rPr>
          <w:rFonts w:eastAsia="Times New Roman" w:cs="Arial" w:ascii="Arial" w:hAnsi="Arial"/>
          <w:i/>
          <w:iCs/>
          <w:sz w:val="22"/>
        </w:rPr>
        <w:t>Eurographics conference on 3D Object Retrieval</w:t>
      </w:r>
      <w:r>
        <w:rPr>
          <w:rFonts w:eastAsia="Times New Roman" w:cs="Arial" w:ascii="Arial" w:hAnsi="Arial"/>
          <w:sz w:val="22"/>
        </w:rPr>
        <w:t>. Eurographics Association, pp. 49–56.</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Helmstaedter, M., Briggman, K.L. &amp; Denk, W., 2011. High-accuracy neurite reconstruction for high-throughput neuroanatomy. </w:t>
      </w:r>
      <w:r>
        <w:rPr>
          <w:rFonts w:eastAsia="Times New Roman" w:cs="Arial" w:ascii="Arial" w:hAnsi="Arial"/>
          <w:i/>
          <w:iCs/>
          <w:sz w:val="22"/>
        </w:rPr>
        <w:t>Nature Neuroscience</w:t>
      </w:r>
      <w:r>
        <w:rPr>
          <w:rFonts w:eastAsia="Times New Roman" w:cs="Arial" w:ascii="Arial" w:hAnsi="Arial"/>
          <w:sz w:val="22"/>
        </w:rPr>
        <w:t>, 14(8), pp.1081–1088.</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Hilaga, M. et al., 2001. Topology matching for fully automatic similarity estimation of 3D shapes. In </w:t>
      </w:r>
      <w:r>
        <w:rPr>
          <w:rFonts w:eastAsia="Times New Roman" w:cs="Arial" w:ascii="Arial" w:hAnsi="Arial"/>
          <w:i/>
          <w:iCs/>
          <w:sz w:val="22"/>
        </w:rPr>
        <w:t>Proceedings of the 28th annual conference on Computer graphics and interactive techniques - SIGGRAPH ’01</w:t>
      </w:r>
      <w:r>
        <w:rPr>
          <w:rFonts w:eastAsia="Times New Roman" w:cs="Arial" w:ascii="Arial" w:hAnsi="Arial"/>
          <w:sz w:val="22"/>
        </w:rPr>
        <w:t>. New York, New York, USA: ACM Press, pp. 203–212.</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Holcomb, P.S. et al., 2013. Synaptic inputs compete during rapid formation of the calyx of Held: a new model system for neural development. </w:t>
      </w:r>
      <w:r>
        <w:rPr>
          <w:rFonts w:eastAsia="Times New Roman" w:cs="Arial" w:ascii="Arial" w:hAnsi="Arial"/>
          <w:i/>
          <w:iCs/>
          <w:sz w:val="22"/>
        </w:rPr>
        <w:t>The Journal of neuroscience : the official journal of the Society for Neuroscience</w:t>
      </w:r>
      <w:r>
        <w:rPr>
          <w:rFonts w:eastAsia="Times New Roman" w:cs="Arial" w:ascii="Arial" w:hAnsi="Arial"/>
          <w:sz w:val="22"/>
        </w:rPr>
        <w:t>, 33(32), pp.12954–69.</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Johnson, A.E. &amp; Hebert, M., 1999. Using spin images for efficient object recognition in cluttered 3D scenes. </w:t>
      </w:r>
      <w:r>
        <w:rPr>
          <w:rFonts w:eastAsia="Times New Roman" w:cs="Arial" w:ascii="Arial" w:hAnsi="Arial"/>
          <w:i/>
          <w:iCs/>
          <w:sz w:val="22"/>
        </w:rPr>
        <w:t>IEEE Transactions on Pattern Analysis and Machine Intelligence</w:t>
      </w:r>
      <w:r>
        <w:rPr>
          <w:rFonts w:eastAsia="Times New Roman" w:cs="Arial" w:ascii="Arial" w:hAnsi="Arial"/>
          <w:sz w:val="22"/>
        </w:rPr>
        <w:t>, 21(5), pp.433–449.</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Kazhdan, M., Funkhouser, T. &amp; Rusinkiewicz, S., 2003. Rotation invariant spherical harmonic representation of 3D shape descriptors. , pp.156–164.</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Morehead, M. et al., 2014. BrainTrek – An Immersive Environment for Investigating Neuronal Tissue. In </w:t>
      </w:r>
      <w:r>
        <w:rPr>
          <w:rFonts w:eastAsia="Times New Roman" w:cs="Arial" w:ascii="Arial" w:hAnsi="Arial"/>
          <w:i/>
          <w:iCs/>
          <w:sz w:val="22"/>
        </w:rPr>
        <w:t>IEEE Symposium on 3D User Interface</w:t>
      </w:r>
      <w:r>
        <w:rPr>
          <w:rFonts w:eastAsia="Times New Roman" w:cs="Arial" w:ascii="Arial" w:hAnsi="Arial"/>
          <w:sz w:val="22"/>
        </w:rPr>
        <w:t>. pp. 3–4.</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Muja, M. &amp; Lowe, D.G., 2014. Scalable Nearest Neighbor Algorithms for High Dimensional Data. </w:t>
      </w:r>
      <w:r>
        <w:rPr>
          <w:rFonts w:eastAsia="Times New Roman" w:cs="Arial" w:ascii="Arial" w:hAnsi="Arial"/>
          <w:i/>
          <w:iCs/>
          <w:sz w:val="22"/>
        </w:rPr>
        <w:t>Pattern Analysis and Machine Intelligence, IEEE Transactions on</w:t>
      </w:r>
      <w:r>
        <w:rPr>
          <w:rFonts w:eastAsia="Times New Roman" w:cs="Arial" w:ascii="Arial" w:hAnsi="Arial"/>
          <w:sz w:val="22"/>
        </w:rPr>
        <w:t>, 36(11), pp.2227–2240.</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Osada, R. et al., 2002. Shape distributions. </w:t>
      </w:r>
      <w:r>
        <w:rPr>
          <w:rFonts w:eastAsia="Times New Roman" w:cs="Arial" w:ascii="Arial" w:hAnsi="Arial"/>
          <w:i/>
          <w:iCs/>
          <w:sz w:val="22"/>
        </w:rPr>
        <w:t>ACM Transactions on Graphics</w:t>
      </w:r>
      <w:r>
        <w:rPr>
          <w:rFonts w:eastAsia="Times New Roman" w:cs="Arial" w:ascii="Arial" w:hAnsi="Arial"/>
          <w:sz w:val="22"/>
        </w:rPr>
        <w:t>, 21(4), pp.807–832.</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Sánchez, J. et al., 2013. Image Classification with the Fisher Vector: Theory and Practice. </w:t>
      </w:r>
      <w:r>
        <w:rPr>
          <w:rFonts w:eastAsia="Times New Roman" w:cs="Arial" w:ascii="Arial" w:hAnsi="Arial"/>
          <w:i/>
          <w:iCs/>
          <w:sz w:val="22"/>
        </w:rPr>
        <w:t>International Journal of Computer Vision</w:t>
      </w:r>
      <w:r>
        <w:rPr>
          <w:rFonts w:eastAsia="Times New Roman" w:cs="Arial" w:ascii="Arial" w:hAnsi="Arial"/>
          <w:sz w:val="22"/>
        </w:rPr>
        <w:t>, 105(3), pp.222–245. Available at: http://dx.doi.org/10.1007/s11263-013-0636-x.</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Schierwagen, A. et al., 2010. Cluster Analysis of Cortical Pyramidal Neurons Using SOM. In F. Schwenker &amp; N. Gayar, eds. </w:t>
      </w:r>
      <w:r>
        <w:rPr>
          <w:rFonts w:eastAsia="Times New Roman" w:cs="Arial" w:ascii="Arial" w:hAnsi="Arial"/>
          <w:i/>
          <w:iCs/>
          <w:sz w:val="22"/>
        </w:rPr>
        <w:t>Artificial Neural Networks in Pattern Recognition</w:t>
      </w:r>
      <w:r>
        <w:rPr>
          <w:rFonts w:eastAsia="Times New Roman" w:cs="Arial" w:ascii="Arial" w:hAnsi="Arial"/>
          <w:sz w:val="22"/>
        </w:rPr>
        <w:t>. Lecture Notes in Computer Science. Berlin, Heidelberg: Springer Berlin Heidelberg, pp. 120–130.</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Schölkopf, B. &amp; Smola, A.J., 2001. </w:t>
      </w:r>
      <w:r>
        <w:rPr>
          <w:rFonts w:eastAsia="Times New Roman" w:cs="Arial" w:ascii="Arial" w:hAnsi="Arial"/>
          <w:i/>
          <w:iCs/>
          <w:sz w:val="22"/>
        </w:rPr>
        <w:t>Learning with kernels</w:t>
      </w:r>
      <w:r>
        <w:rPr>
          <w:rFonts w:eastAsia="Times New Roman" w:cs="Arial" w:ascii="Arial" w:hAnsi="Arial"/>
          <w:sz w:val="22"/>
        </w:rPr>
        <w:t>, The MIT Press.</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Scorcioni, R., Polavaram, S. &amp; Ascoli, G.A., 2008. L-Measure: a web-accessible tool for the analysis, comparison and search of digital reconstructions of neuronal morphologies. </w:t>
      </w:r>
      <w:r>
        <w:rPr>
          <w:rFonts w:eastAsia="Times New Roman" w:cs="Arial" w:ascii="Arial" w:hAnsi="Arial"/>
          <w:i/>
          <w:iCs/>
          <w:sz w:val="22"/>
        </w:rPr>
        <w:t>Nature protocols</w:t>
      </w:r>
      <w:r>
        <w:rPr>
          <w:rFonts w:eastAsia="Times New Roman" w:cs="Arial" w:ascii="Arial" w:hAnsi="Arial"/>
          <w:sz w:val="22"/>
        </w:rPr>
        <w:t>, 3(5), pp.866–76.</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Sun, J., Ovsjanikov, M. &amp; Guibas, L., 2009. A concise and provably informative multi-scale signature based on heat diffusion. , pp.1383–1392.</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Sundar, H. et al., 2003. Skeleton based shape matching and retrieval. In </w:t>
      </w:r>
      <w:r>
        <w:rPr>
          <w:rFonts w:eastAsia="Times New Roman" w:cs="Arial" w:ascii="Arial" w:hAnsi="Arial"/>
          <w:i/>
          <w:iCs/>
          <w:sz w:val="22"/>
        </w:rPr>
        <w:t>2003 Shape Modeling International.</w:t>
      </w:r>
      <w:r>
        <w:rPr>
          <w:rFonts w:eastAsia="Times New Roman" w:cs="Arial" w:ascii="Arial" w:hAnsi="Arial"/>
          <w:sz w:val="22"/>
        </w:rPr>
        <w:t xml:space="preserve"> IEEE Comput. Soc, pp. 130–139.</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Tang, S. &amp; Godil, A., 2012. An evaluation of local shape descriptors for 3D shape retrieval.</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Tangelder, J.W.H. &amp; Veltkamp, R.C., 2007. A survey of content based 3D shape retrieval methods. </w:t>
      </w:r>
      <w:r>
        <w:rPr>
          <w:rFonts w:eastAsia="Times New Roman" w:cs="Arial" w:ascii="Arial" w:hAnsi="Arial"/>
          <w:i/>
          <w:iCs/>
          <w:sz w:val="22"/>
        </w:rPr>
        <w:t>Multimedia Tools and Applications</w:t>
      </w:r>
      <w:r>
        <w:rPr>
          <w:rFonts w:eastAsia="Times New Roman" w:cs="Arial" w:ascii="Arial" w:hAnsi="Arial"/>
          <w:sz w:val="22"/>
        </w:rPr>
        <w:t>, 39(3), pp.441–471.</w:t>
      </w:r>
    </w:p>
    <w:p>
      <w:pPr>
        <w:pStyle w:val="Normal"/>
        <w:widowControl w:val="false"/>
        <w:spacing w:before="100" w:after="100"/>
        <w:ind w:left="480" w:right="0" w:hanging="480"/>
        <w:rPr>
          <w:rFonts w:eastAsia="Times New Roman" w:cs="Arial" w:ascii="Arial" w:hAnsi="Arial"/>
          <w:sz w:val="22"/>
        </w:rPr>
      </w:pPr>
      <w:r>
        <w:rPr>
          <w:rFonts w:eastAsia="Times New Roman" w:cs="Arial" w:ascii="Arial" w:hAnsi="Arial"/>
          <w:sz w:val="22"/>
        </w:rPr>
        <w:t xml:space="preserve">Zhang, K., Wang, J.T.L. &amp; Shasha, D., 1994. On the Editing Distance between Undirected Acyclic Graphs and Related Problems. </w:t>
      </w:r>
      <w:r>
        <w:rPr>
          <w:rFonts w:eastAsia="Times New Roman" w:cs="Arial" w:ascii="Arial" w:hAnsi="Arial"/>
          <w:i/>
          <w:iCs/>
          <w:sz w:val="22"/>
        </w:rPr>
        <w:t>International Journal of Foundations of Computer Science</w:t>
      </w:r>
      <w:r>
        <w:rPr>
          <w:rFonts w:eastAsia="Times New Roman" w:cs="Arial" w:ascii="Arial" w:hAnsi="Arial"/>
          <w:sz w:val="22"/>
        </w:rPr>
        <w:t>.</w:t>
      </w:r>
    </w:p>
    <w:p>
      <w:pPr>
        <w:pStyle w:val="Normal"/>
        <w:widowControl w:val="false"/>
        <w:spacing w:before="100" w:after="100"/>
        <w:ind w:left="480" w:right="0" w:hanging="480"/>
        <w:rPr/>
      </w:pPr>
      <w:r>
        <w:rPr/>
      </w:r>
    </w:p>
    <w:sectPr>
      <w:type w:val="nextPage"/>
      <w:pgSz w:w="12240" w:h="15840"/>
      <w:pgMar w:left="864" w:right="936" w:header="0" w:top="1080" w:footer="0" w:bottom="9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13"/>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b3d18"/>
    <w:pPr>
      <w:widowControl/>
      <w:suppressAutoHyphens w:val="true"/>
      <w:bidi w:val="0"/>
      <w:spacing w:before="0" w:after="200"/>
      <w:jc w:val="left"/>
    </w:pPr>
    <w:rPr>
      <w:rFonts w:ascii="Cambria" w:hAnsi="Cambria" w:eastAsia="Droid Sans Fallback" w:cs=""/>
      <w:color w:val="auto"/>
      <w:sz w:val="24"/>
      <w:szCs w:val="24"/>
      <w:lang w:val="en-US" w:eastAsia="ja-JP"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5181a"/>
    <w:basedOn w:val="DefaultParagraphFont"/>
    <w:rPr>
      <w:color w:val="0000FF"/>
      <w:u w:val="single"/>
      <w:lang w:val="zxx" w:eastAsia="zxx" w:bidi="zxx"/>
    </w:rPr>
  </w:style>
  <w:style w:type="character" w:styleId="BalloonTextChar" w:customStyle="1">
    <w:name w:val="Balloon Text Char"/>
    <w:uiPriority w:val="99"/>
    <w:semiHidden/>
    <w:link w:val="BalloonText"/>
    <w:rsid w:val="000124fd"/>
    <w:basedOn w:val="DefaultParagraphFont"/>
    <w:rPr>
      <w:rFonts w:ascii="Lucida Grande" w:hAnsi="Lucida Grande" w:cs="Lucida Grande"/>
      <w:sz w:val="18"/>
      <w:szCs w:val="18"/>
    </w:rPr>
  </w:style>
  <w:style w:type="character" w:styleId="PlaceholderText">
    <w:name w:val="Placeholder Text"/>
    <w:uiPriority w:val="99"/>
    <w:semiHidden/>
    <w:rsid w:val="00193f28"/>
    <w:basedOn w:val="DefaultParagraphFont"/>
    <w:rPr>
      <w:color w:val="808080"/>
    </w:rPr>
  </w:style>
  <w:style w:type="character" w:styleId="Annotationreference">
    <w:name w:val="annotation reference"/>
    <w:uiPriority w:val="99"/>
    <w:semiHidden/>
    <w:unhideWhenUsed/>
    <w:rsid w:val="005a5996"/>
    <w:basedOn w:val="DefaultParagraphFont"/>
    <w:rPr>
      <w:sz w:val="18"/>
      <w:szCs w:val="18"/>
    </w:rPr>
  </w:style>
  <w:style w:type="character" w:styleId="CommentTextChar" w:customStyle="1">
    <w:name w:val="Comment Text Char"/>
    <w:uiPriority w:val="99"/>
    <w:semiHidden/>
    <w:link w:val="CommentText"/>
    <w:rsid w:val="005a5996"/>
    <w:basedOn w:val="DefaultParagraphFont"/>
    <w:rPr/>
  </w:style>
  <w:style w:type="character" w:styleId="CommentSubjectChar" w:customStyle="1">
    <w:name w:val="Comment Subject Char"/>
    <w:uiPriority w:val="99"/>
    <w:semiHidden/>
    <w:link w:val="CommentSubject"/>
    <w:rsid w:val="005a5996"/>
    <w:basedOn w:val="CommentTextChar"/>
    <w:rPr>
      <w:b/>
      <w:bCs/>
      <w:sz w:val="20"/>
      <w:szCs w:val="20"/>
    </w:rPr>
  </w:style>
  <w:style w:type="character" w:styleId="FootnoteTextChar" w:customStyle="1">
    <w:name w:val="Footnote Text Char"/>
    <w:uiPriority w:val="99"/>
    <w:link w:val="FootnoteText"/>
    <w:rsid w:val="00c22510"/>
    <w:basedOn w:val="DefaultParagraphFont"/>
    <w:rPr/>
  </w:style>
  <w:style w:type="character" w:styleId="Footnotereference">
    <w:name w:val="footnote reference"/>
    <w:uiPriority w:val="99"/>
    <w:unhideWhenUsed/>
    <w:rsid w:val="00c22510"/>
    <w:basedOn w:val="DefaultParagraphFont"/>
    <w:rPr>
      <w:vertAlign w:val="superscript"/>
    </w:rPr>
  </w:style>
  <w:style w:type="character" w:styleId="ListLabel1">
    <w:name w:val="ListLabel 1"/>
    <w:rPr>
      <w:rFonts w:cs="Arial"/>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8412b"/>
    <w:basedOn w:val="Normal"/>
    <w:pPr>
      <w:spacing w:before="0" w:after="200"/>
      <w:ind w:left="720" w:right="0" w:hanging="0"/>
      <w:contextualSpacing/>
    </w:pPr>
    <w:rPr/>
  </w:style>
  <w:style w:type="paragraph" w:styleId="NormalWeb">
    <w:name w:val="Normal (Web)"/>
    <w:uiPriority w:val="99"/>
    <w:unhideWhenUsed/>
    <w:rsid w:val="00713a58"/>
    <w:basedOn w:val="Normal"/>
    <w:pPr>
      <w:spacing w:before="0" w:after="280"/>
    </w:pPr>
    <w:rPr>
      <w:rFonts w:ascii="Times" w:hAnsi="Times" w:cs="Times New Roman"/>
      <w:sz w:val="20"/>
      <w:szCs w:val="20"/>
      <w:lang w:eastAsia="en-US"/>
    </w:rPr>
  </w:style>
  <w:style w:type="paragraph" w:styleId="BalloonText">
    <w:name w:val="Balloon Text"/>
    <w:uiPriority w:val="99"/>
    <w:semiHidden/>
    <w:unhideWhenUsed/>
    <w:link w:val="BalloonTextChar"/>
    <w:rsid w:val="000124fd"/>
    <w:basedOn w:val="Normal"/>
    <w:pPr>
      <w:spacing w:before="0" w:after="0"/>
    </w:pPr>
    <w:rPr>
      <w:rFonts w:ascii="Lucida Grande" w:hAnsi="Lucida Grande" w:cs="Lucida Grande"/>
      <w:sz w:val="18"/>
      <w:szCs w:val="18"/>
    </w:rPr>
  </w:style>
  <w:style w:type="paragraph" w:styleId="Annotationtext">
    <w:name w:val="annotation text"/>
    <w:uiPriority w:val="99"/>
    <w:semiHidden/>
    <w:unhideWhenUsed/>
    <w:link w:val="CommentTextChar"/>
    <w:rsid w:val="005a5996"/>
    <w:basedOn w:val="Normal"/>
    <w:pPr/>
    <w:rPr/>
  </w:style>
  <w:style w:type="paragraph" w:styleId="Annotationsubject">
    <w:name w:val="annotation subject"/>
    <w:uiPriority w:val="99"/>
    <w:semiHidden/>
    <w:unhideWhenUsed/>
    <w:link w:val="CommentSubjectChar"/>
    <w:rsid w:val="005a5996"/>
    <w:basedOn w:val="Annotationtext"/>
    <w:pPr/>
    <w:rPr>
      <w:b/>
      <w:bCs/>
      <w:sz w:val="20"/>
      <w:szCs w:val="20"/>
    </w:rPr>
  </w:style>
  <w:style w:type="paragraph" w:styleId="Revision">
    <w:name w:val="Revision"/>
    <w:uiPriority w:val="99"/>
    <w:semiHidden/>
    <w:rsid w:val="006535b4"/>
    <w:pPr>
      <w:widowControl/>
      <w:suppressAutoHyphens w:val="true"/>
      <w:bidi w:val="0"/>
      <w:spacing w:before="0" w:after="0"/>
      <w:jc w:val="left"/>
    </w:pPr>
    <w:rPr>
      <w:rFonts w:ascii="Cambria" w:hAnsi="Cambria" w:eastAsia="Droid Sans Fallback" w:cs=""/>
      <w:color w:val="auto"/>
      <w:sz w:val="24"/>
      <w:szCs w:val="24"/>
      <w:lang w:val="en-US" w:eastAsia="ja-JP" w:bidi="ar-SA"/>
    </w:rPr>
  </w:style>
  <w:style w:type="paragraph" w:styleId="Footnotetext">
    <w:name w:val="footnote text"/>
    <w:uiPriority w:val="99"/>
    <w:unhideWhenUsed/>
    <w:link w:val="FootnoteTextChar"/>
    <w:rsid w:val="00c22510"/>
    <w:basedOn w:val="Normal"/>
    <w:pPr>
      <w:spacing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124fd"/>
    <w:pPr>
      <w:spacing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22C06-577D-1C46-A69E-A1AC783E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2014-03-08T19:44:00Z</dcterms:created>
  <dc:creator>Gianfranco Doretto</dc:creator>
  <dc:language>en-US</dc:language>
  <cp:lastModifiedBy>Gianfranco Doretto</cp:lastModifiedBy>
  <cp:lastPrinted>2014-03-02T22:16:00Z</cp:lastPrinted>
  <dcterms:modified xsi:type="dcterms:W3CDTF">2016-01-16T19:52:00Z</dcterms:modified>
  <cp:revision>158</cp:revision>
</cp:coreProperties>
</file>