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Esteban Andree Díaz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5"/>
        <w:gridCol w:w="1230"/>
        <w:gridCol w:w="1245"/>
        <w:gridCol w:w="1245"/>
        <w:gridCol w:w="1260"/>
        <w:gridCol w:w="1050"/>
        <w:gridCol w:w="1500"/>
        <w:tblGridChange w:id="0">
          <w:tblGrid>
            <w:gridCol w:w="2385"/>
            <w:gridCol w:w="1230"/>
            <w:gridCol w:w="1245"/>
            <w:gridCol w:w="1245"/>
            <w:gridCol w:w="1260"/>
            <w:gridCol w:w="1050"/>
            <w:gridCol w:w="150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C1: 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left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C2: 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C3: 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C">
            <w:pPr>
              <w:ind w:lef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 cuesta un poco comenzar a desarrollar la idea, sin embargo una vez ya comenzado el modelo, es más fácil continuar desarrollarlo de manera escalable y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C4: Desarrollar una solución de software utilizando técnicas que permitan sistematizar el proceso de desarrollo y mantenimiento, asegurando el logro de los objetivos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C5: Comunicarse de forma oral y escrita usando el idioma inglés en situaciones socio-laborales a un nivel elemental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 no tener tanta confianza en mí mismo, a la hora de hablar en ingles me pongo un poco más nervioso de lo normal, lo cual dificulta mi comunicación fluida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hDUw6efgN2XfaPSfabNVOLu63A==">CgMxLjAyCGguZ2pkZ3hzMgloLjMwajB6bGw4AHIhMTUzZ3dwQk5RVGM0N21fZUZMSGdVZWM5YzVOZWw4U1FG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