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9196" w14:textId="77777777" w:rsidR="008417B7" w:rsidRPr="008417B7" w:rsidRDefault="008417B7" w:rsidP="008417B7">
      <w:pPr>
        <w:rPr>
          <w:b/>
          <w:bCs/>
        </w:rPr>
      </w:pPr>
      <w:r w:rsidRPr="008417B7">
        <w:rPr>
          <w:b/>
          <w:bCs/>
        </w:rPr>
        <w:t>Limitations and Future Directions</w:t>
      </w:r>
    </w:p>
    <w:p w14:paraId="50903136" w14:textId="77777777" w:rsidR="008417B7" w:rsidRPr="008417B7" w:rsidRDefault="008417B7" w:rsidP="008417B7">
      <w:pPr>
        <w:rPr>
          <w:b/>
          <w:bCs/>
        </w:rPr>
      </w:pPr>
      <w:r w:rsidRPr="008417B7">
        <w:rPr>
          <w:b/>
          <w:bCs/>
        </w:rPr>
        <w:t>While the project demonstrated that Generative AI can automate many of the core tasks associated with identifying and categorizing soft power activities, several limitations remain. These reflect both the current maturity of the technology and the resource constraints under which the system is being developed.</w:t>
      </w:r>
    </w:p>
    <w:p w14:paraId="46BCB910" w14:textId="77777777" w:rsidR="008417B7" w:rsidRPr="008417B7" w:rsidRDefault="008417B7" w:rsidP="008417B7">
      <w:pPr>
        <w:rPr>
          <w:b/>
          <w:bCs/>
        </w:rPr>
      </w:pPr>
      <w:r w:rsidRPr="008417B7">
        <w:rPr>
          <w:b/>
          <w:bCs/>
        </w:rPr>
        <w:t>1. Deduplication Fidelity</w:t>
      </w:r>
    </w:p>
    <w:p w14:paraId="5114697D" w14:textId="77777777" w:rsidR="008417B7" w:rsidRPr="008417B7" w:rsidRDefault="008417B7" w:rsidP="008417B7">
      <w:pPr>
        <w:rPr>
          <w:b/>
          <w:bCs/>
        </w:rPr>
      </w:pPr>
      <w:r w:rsidRPr="008417B7">
        <w:rPr>
          <w:b/>
          <w:bCs/>
        </w:rPr>
        <w:t>Current event deduplication is optimized to highlight key unique events on a monthly basis, but it does not represent a stable ground-truth index. The absence of hierarchical schemas and sustained human oversight means that consolidations may occasionally over-merge or under-split events. This level of fidelity is sufficient for trend analysis and exploratory visualization but may not satisfy requirements for definitive event tracking.</w:t>
      </w:r>
    </w:p>
    <w:p w14:paraId="171FAF9D" w14:textId="77777777" w:rsidR="008417B7" w:rsidRPr="008417B7" w:rsidRDefault="008417B7" w:rsidP="008417B7">
      <w:pPr>
        <w:rPr>
          <w:b/>
          <w:bCs/>
        </w:rPr>
      </w:pPr>
      <w:r w:rsidRPr="008417B7">
        <w:rPr>
          <w:b/>
          <w:bCs/>
        </w:rPr>
        <w:t>Future Direction: Develop hierarchical schemas (article → event → meta-event) combined with periodic batch reprocessing to refine consolidations. Integrate SME adjudication to validate higher-order merges and ensure accuracy over time.</w:t>
      </w:r>
    </w:p>
    <w:p w14:paraId="35A0CD49" w14:textId="77777777" w:rsidR="008417B7" w:rsidRPr="008417B7" w:rsidRDefault="008417B7" w:rsidP="008417B7">
      <w:pPr>
        <w:rPr>
          <w:b/>
          <w:bCs/>
        </w:rPr>
      </w:pPr>
      <w:r w:rsidRPr="008417B7">
        <w:rPr>
          <w:b/>
          <w:bCs/>
        </w:rPr>
        <w:t>2. Human-in-the-Loop Validation</w:t>
      </w:r>
    </w:p>
    <w:p w14:paraId="74F04CA6" w14:textId="77777777" w:rsidR="008417B7" w:rsidRPr="008417B7" w:rsidRDefault="008417B7" w:rsidP="008417B7">
      <w:pPr>
        <w:rPr>
          <w:b/>
          <w:bCs/>
        </w:rPr>
      </w:pPr>
      <w:r w:rsidRPr="008417B7">
        <w:rPr>
          <w:b/>
          <w:bCs/>
        </w:rPr>
        <w:t>GAI outputs, while highly structured and consistent, still require human oversight to guard against hallucinations, subtle misclassifications, and edge cases. At present, the project lacks sufficient analyst manpower to maintain continuous human validation of SPIDs at scale.</w:t>
      </w:r>
    </w:p>
    <w:p w14:paraId="41B9620F" w14:textId="77777777" w:rsidR="008417B7" w:rsidRPr="008417B7" w:rsidRDefault="008417B7" w:rsidP="008417B7">
      <w:pPr>
        <w:rPr>
          <w:b/>
          <w:bCs/>
        </w:rPr>
      </w:pPr>
      <w:r w:rsidRPr="008417B7">
        <w:rPr>
          <w:b/>
          <w:bCs/>
        </w:rPr>
        <w:t>Future Direction: Adopt a selective validation strategy in which analysts review only high-impact or ambiguous events flagged by automated confidence metrics. Reinforcement learning could then be applied to tune the system over time based on SME feedback.</w:t>
      </w:r>
    </w:p>
    <w:p w14:paraId="7FF3A6B2" w14:textId="77777777" w:rsidR="008417B7" w:rsidRPr="008417B7" w:rsidRDefault="008417B7" w:rsidP="008417B7">
      <w:pPr>
        <w:rPr>
          <w:b/>
          <w:bCs/>
        </w:rPr>
      </w:pPr>
      <w:r w:rsidRPr="008417B7">
        <w:rPr>
          <w:b/>
          <w:bCs/>
        </w:rPr>
        <w:t>3. Evaluation and Ground Truth Gaps</w:t>
      </w:r>
    </w:p>
    <w:p w14:paraId="414F0548" w14:textId="77777777" w:rsidR="008417B7" w:rsidRPr="008417B7" w:rsidRDefault="008417B7" w:rsidP="008417B7">
      <w:pPr>
        <w:rPr>
          <w:b/>
          <w:bCs/>
        </w:rPr>
      </w:pPr>
      <w:r w:rsidRPr="008417B7">
        <w:rPr>
          <w:b/>
          <w:bCs/>
        </w:rPr>
        <w:t>No comprehensive ground truth dataset exists for soft power, and human annotators have shown substantial variance in interpretation. As a result, evaluation remains an ongoing process rather than a one-time benchmark.</w:t>
      </w:r>
    </w:p>
    <w:p w14:paraId="0F8A767F" w14:textId="77777777" w:rsidR="008417B7" w:rsidRPr="008417B7" w:rsidRDefault="008417B7" w:rsidP="008417B7">
      <w:pPr>
        <w:rPr>
          <w:b/>
          <w:bCs/>
        </w:rPr>
      </w:pPr>
      <w:r w:rsidRPr="008417B7">
        <w:rPr>
          <w:b/>
          <w:bCs/>
        </w:rPr>
        <w:t>Future Direction: Build a balanced evaluation corpus by combining government-provided data, GCDF samples, and curated negative examples. Use overlap in human annotations to measure reliability and refine schema definitions, while iteratively aligning GAI outputs with analyst expectations.</w:t>
      </w:r>
    </w:p>
    <w:p w14:paraId="4DF0A9B9" w14:textId="77777777" w:rsidR="008417B7" w:rsidRPr="008417B7" w:rsidRDefault="008417B7" w:rsidP="008417B7">
      <w:pPr>
        <w:rPr>
          <w:b/>
          <w:bCs/>
        </w:rPr>
      </w:pPr>
      <w:r w:rsidRPr="008417B7">
        <w:rPr>
          <w:b/>
          <w:bCs/>
        </w:rPr>
        <w:t>4. Cost and Scaling Constraints</w:t>
      </w:r>
    </w:p>
    <w:p w14:paraId="24ABF1E7" w14:textId="77777777" w:rsidR="008417B7" w:rsidRPr="008417B7" w:rsidRDefault="008417B7" w:rsidP="008417B7">
      <w:pPr>
        <w:rPr>
          <w:b/>
          <w:bCs/>
        </w:rPr>
      </w:pPr>
      <w:r w:rsidRPr="008417B7">
        <w:rPr>
          <w:b/>
          <w:bCs/>
        </w:rPr>
        <w:lastRenderedPageBreak/>
        <w:t xml:space="preserve">Despite performance improvements in GPT-4 and GPT-4.1, token costs remain significant for large-scale ingestion. Open-source alternatives such as </w:t>
      </w:r>
      <w:proofErr w:type="spellStart"/>
      <w:r w:rsidRPr="008417B7">
        <w:rPr>
          <w:b/>
          <w:bCs/>
        </w:rPr>
        <w:t>LLaMA</w:t>
      </w:r>
      <w:proofErr w:type="spellEnd"/>
      <w:r w:rsidRPr="008417B7">
        <w:rPr>
          <w:b/>
          <w:bCs/>
        </w:rPr>
        <w:t xml:space="preserve"> offer a path toward cost reduction, but their output consistency lags behind closed-source frontier models.</w:t>
      </w:r>
    </w:p>
    <w:p w14:paraId="736C00A2" w14:textId="77777777" w:rsidR="008417B7" w:rsidRPr="008417B7" w:rsidRDefault="008417B7" w:rsidP="008417B7">
      <w:pPr>
        <w:rPr>
          <w:b/>
          <w:bCs/>
        </w:rPr>
      </w:pPr>
      <w:r w:rsidRPr="008417B7">
        <w:rPr>
          <w:b/>
          <w:bCs/>
        </w:rPr>
        <w:t>Future Direction: Pursue a hybrid approach in which frontier models are used for high-stakes extraction and categorization, while distilled student models or hosted open-source models handle batch processing and deduplication tasks.</w:t>
      </w:r>
    </w:p>
    <w:p w14:paraId="11613F44" w14:textId="77777777" w:rsidR="008417B7" w:rsidRPr="008417B7" w:rsidRDefault="008417B7" w:rsidP="008417B7">
      <w:pPr>
        <w:rPr>
          <w:b/>
          <w:bCs/>
        </w:rPr>
      </w:pPr>
      <w:r w:rsidRPr="008417B7">
        <w:rPr>
          <w:b/>
          <w:bCs/>
        </w:rPr>
        <w:t>5. Governance and Cultural Acceptance</w:t>
      </w:r>
    </w:p>
    <w:p w14:paraId="5AC4C348" w14:textId="77777777" w:rsidR="008417B7" w:rsidRPr="008417B7" w:rsidRDefault="008417B7" w:rsidP="008417B7">
      <w:pPr>
        <w:rPr>
          <w:b/>
          <w:bCs/>
        </w:rPr>
      </w:pPr>
      <w:r w:rsidRPr="008417B7">
        <w:rPr>
          <w:b/>
          <w:bCs/>
        </w:rPr>
        <w:t>Institutional policies around the use of GAI remain underdeveloped. Concerns about hallucinations, content provenance, and evaluation standards limit the degree to which GAI outputs can be incorporated into official products.</w:t>
      </w:r>
    </w:p>
    <w:p w14:paraId="4984881C" w14:textId="77777777" w:rsidR="008417B7" w:rsidRPr="008417B7" w:rsidRDefault="008417B7" w:rsidP="008417B7">
      <w:pPr>
        <w:rPr>
          <w:b/>
          <w:bCs/>
        </w:rPr>
      </w:pPr>
      <w:r w:rsidRPr="008417B7">
        <w:rPr>
          <w:b/>
          <w:bCs/>
        </w:rPr>
        <w:t>Future Direction: Formalize risk management procedures into governance guidelines, emphasizing provenance, traceability, and SME oversight. As policies mature, expand GAI applications from low-risk factual tasks (salience, extraction) toward higher-risk analytic tasks (forecasting, intent analysis).</w:t>
      </w:r>
    </w:p>
    <w:p w14:paraId="7C6663AC" w14:textId="77777777" w:rsidR="008417B7" w:rsidRPr="008417B7" w:rsidRDefault="008417B7" w:rsidP="008417B7">
      <w:pPr>
        <w:rPr>
          <w:b/>
          <w:bCs/>
        </w:rPr>
      </w:pPr>
      <w:r w:rsidRPr="008417B7">
        <w:rPr>
          <w:b/>
          <w:bCs/>
        </w:rPr>
        <w:pict w14:anchorId="45F0C2BD">
          <v:rect id="_x0000_i1037" style="width:0;height:1.5pt" o:hralign="center" o:hrstd="t" o:hr="t" fillcolor="#a0a0a0" stroked="f"/>
        </w:pict>
      </w:r>
    </w:p>
    <w:p w14:paraId="7F0AC4F4" w14:textId="77777777" w:rsidR="008417B7" w:rsidRPr="008417B7" w:rsidRDefault="008417B7" w:rsidP="008417B7">
      <w:pPr>
        <w:rPr>
          <w:b/>
          <w:bCs/>
        </w:rPr>
      </w:pPr>
      <w:r w:rsidRPr="008417B7">
        <w:rPr>
          <w:b/>
          <w:bCs/>
        </w:rPr>
        <w:t>In sum, while the project validated that GAI can dramatically reduce the cost and time required for soft power event analysis, it also highlighted the importance of context engineering, risk management, and human validation as ongoing requirements. Future work will focus on scaling sustainably, refining deduplication fidelity, and aligning outputs with institutional governance frameworks.</w:t>
      </w:r>
    </w:p>
    <w:p w14:paraId="5B32AE10" w14:textId="77777777" w:rsidR="008417B7" w:rsidRPr="008417B7" w:rsidRDefault="008417B7" w:rsidP="008417B7">
      <w:pPr>
        <w:rPr>
          <w:b/>
          <w:bCs/>
        </w:rPr>
      </w:pPr>
      <w:r w:rsidRPr="008417B7">
        <w:rPr>
          <w:b/>
          <w:bCs/>
        </w:rPr>
        <w:pict w14:anchorId="406BB70F">
          <v:rect id="_x0000_i1038" style="width:0;height:1.5pt" o:hralign="center" o:hrstd="t" o:hr="t" fillcolor="#a0a0a0" stroked="f"/>
        </w:pict>
      </w:r>
    </w:p>
    <w:p w14:paraId="424C8B88" w14:textId="77777777" w:rsidR="008417B7" w:rsidRPr="008417B7" w:rsidRDefault="008417B7" w:rsidP="008417B7">
      <w:pPr>
        <w:rPr>
          <w:b/>
          <w:bCs/>
        </w:rPr>
      </w:pPr>
      <w:r w:rsidRPr="008417B7">
        <w:rPr>
          <w:b/>
          <w:bCs/>
        </w:rPr>
        <w:t>Would you like me to also draft a short concluding paragraph that ties the Background → Workflow → Risk → Evaluation → Limitations together, so the paper closes with a strong takeaway</w:t>
      </w:r>
    </w:p>
    <w:p w14:paraId="53BB6739" w14:textId="77777777" w:rsidR="008417B7" w:rsidRDefault="008417B7" w:rsidP="009B2DB7">
      <w:pPr>
        <w:rPr>
          <w:b/>
          <w:bCs/>
        </w:rPr>
      </w:pPr>
    </w:p>
    <w:p w14:paraId="101F08D9" w14:textId="77777777" w:rsidR="008417B7" w:rsidRDefault="008417B7" w:rsidP="009B2DB7">
      <w:pPr>
        <w:rPr>
          <w:b/>
          <w:bCs/>
        </w:rPr>
      </w:pPr>
    </w:p>
    <w:p w14:paraId="04CD09BE" w14:textId="5773CA26" w:rsidR="009B2DB7" w:rsidRPr="009B2DB7" w:rsidRDefault="009B2DB7" w:rsidP="009B2DB7">
      <w:pPr>
        <w:rPr>
          <w:b/>
          <w:bCs/>
        </w:rPr>
      </w:pPr>
      <w:r w:rsidRPr="009B2DB7">
        <w:rPr>
          <w:b/>
          <w:bCs/>
        </w:rPr>
        <w:t>Limitations &amp; Future Directions</w:t>
      </w:r>
    </w:p>
    <w:p w14:paraId="48FB5F37" w14:textId="77777777" w:rsidR="009B2DB7" w:rsidRPr="009B2DB7" w:rsidRDefault="009B2DB7" w:rsidP="009B2DB7">
      <w:r w:rsidRPr="009B2DB7">
        <w:rPr>
          <w:b/>
          <w:bCs/>
        </w:rPr>
        <w:t>Deduplication Fidelity</w:t>
      </w:r>
    </w:p>
    <w:p w14:paraId="6E80ACBA" w14:textId="77777777" w:rsidR="009B2DB7" w:rsidRPr="009B2DB7" w:rsidRDefault="009B2DB7" w:rsidP="009B2DB7">
      <w:pPr>
        <w:numPr>
          <w:ilvl w:val="0"/>
          <w:numId w:val="6"/>
        </w:numPr>
      </w:pPr>
      <w:r w:rsidRPr="009B2DB7">
        <w:t>Current: Monthly fidelity, not ground-truth index</w:t>
      </w:r>
    </w:p>
    <w:p w14:paraId="596F3D0D" w14:textId="77777777" w:rsidR="009B2DB7" w:rsidRPr="009B2DB7" w:rsidRDefault="009B2DB7" w:rsidP="009B2DB7">
      <w:pPr>
        <w:numPr>
          <w:ilvl w:val="0"/>
          <w:numId w:val="6"/>
        </w:numPr>
      </w:pPr>
      <w:r w:rsidRPr="009B2DB7">
        <w:t>Challenge: Over/under merging events</w:t>
      </w:r>
    </w:p>
    <w:p w14:paraId="1B8601B4" w14:textId="77777777" w:rsidR="009B2DB7" w:rsidRPr="009B2DB7" w:rsidRDefault="009B2DB7" w:rsidP="009B2DB7">
      <w:pPr>
        <w:numPr>
          <w:ilvl w:val="0"/>
          <w:numId w:val="6"/>
        </w:numPr>
      </w:pPr>
      <w:r w:rsidRPr="009B2DB7">
        <w:lastRenderedPageBreak/>
        <w:t>Future: Hierarchical schemas + batch reprocessing + SME adjudication</w:t>
      </w:r>
    </w:p>
    <w:p w14:paraId="7EFC1208" w14:textId="77777777" w:rsidR="009B2DB7" w:rsidRPr="009B2DB7" w:rsidRDefault="009B2DB7" w:rsidP="009B2DB7">
      <w:r w:rsidRPr="009B2DB7">
        <w:rPr>
          <w:b/>
          <w:bCs/>
        </w:rPr>
        <w:t>Human-in-the-Loop Validation</w:t>
      </w:r>
    </w:p>
    <w:p w14:paraId="274CAD3A" w14:textId="77777777" w:rsidR="009B2DB7" w:rsidRPr="009B2DB7" w:rsidRDefault="009B2DB7" w:rsidP="009B2DB7">
      <w:pPr>
        <w:numPr>
          <w:ilvl w:val="0"/>
          <w:numId w:val="7"/>
        </w:numPr>
      </w:pPr>
      <w:r w:rsidRPr="009B2DB7">
        <w:t>Current: Limited analyst manpower</w:t>
      </w:r>
    </w:p>
    <w:p w14:paraId="439E4856" w14:textId="77777777" w:rsidR="009B2DB7" w:rsidRPr="009B2DB7" w:rsidRDefault="009B2DB7" w:rsidP="009B2DB7">
      <w:pPr>
        <w:numPr>
          <w:ilvl w:val="0"/>
          <w:numId w:val="7"/>
        </w:numPr>
      </w:pPr>
      <w:r w:rsidRPr="009B2DB7">
        <w:t>Challenge: Continuous review not feasible</w:t>
      </w:r>
    </w:p>
    <w:p w14:paraId="2A49E2E9" w14:textId="77777777" w:rsidR="009B2DB7" w:rsidRPr="009B2DB7" w:rsidRDefault="009B2DB7" w:rsidP="009B2DB7">
      <w:pPr>
        <w:numPr>
          <w:ilvl w:val="0"/>
          <w:numId w:val="7"/>
        </w:numPr>
      </w:pPr>
      <w:r w:rsidRPr="009B2DB7">
        <w:t>Future: Selective validation + confidence metrics + reinforcement learning</w:t>
      </w:r>
    </w:p>
    <w:p w14:paraId="6F92CC0C" w14:textId="77777777" w:rsidR="009B2DB7" w:rsidRPr="009B2DB7" w:rsidRDefault="009B2DB7" w:rsidP="009B2DB7">
      <w:r w:rsidRPr="009B2DB7">
        <w:rPr>
          <w:b/>
          <w:bCs/>
        </w:rPr>
        <w:t>Evaluation &amp; Ground Truth Gaps</w:t>
      </w:r>
    </w:p>
    <w:p w14:paraId="6DAAEC88" w14:textId="77777777" w:rsidR="009B2DB7" w:rsidRPr="009B2DB7" w:rsidRDefault="009B2DB7" w:rsidP="009B2DB7">
      <w:pPr>
        <w:numPr>
          <w:ilvl w:val="0"/>
          <w:numId w:val="8"/>
        </w:numPr>
      </w:pPr>
      <w:r w:rsidRPr="009B2DB7">
        <w:t>Current: No balanced dataset; human variance</w:t>
      </w:r>
    </w:p>
    <w:p w14:paraId="51410721" w14:textId="77777777" w:rsidR="009B2DB7" w:rsidRPr="009B2DB7" w:rsidRDefault="009B2DB7" w:rsidP="009B2DB7">
      <w:pPr>
        <w:numPr>
          <w:ilvl w:val="0"/>
          <w:numId w:val="8"/>
        </w:numPr>
      </w:pPr>
      <w:r w:rsidRPr="009B2DB7">
        <w:t>Challenge: Evaluation remains iterative</w:t>
      </w:r>
    </w:p>
    <w:p w14:paraId="46BB6237" w14:textId="77777777" w:rsidR="009B2DB7" w:rsidRPr="009B2DB7" w:rsidRDefault="009B2DB7" w:rsidP="009B2DB7">
      <w:pPr>
        <w:numPr>
          <w:ilvl w:val="0"/>
          <w:numId w:val="8"/>
        </w:numPr>
      </w:pPr>
      <w:r w:rsidRPr="009B2DB7">
        <w:t>Future: Build balanced corpus; overlap checks; refine schema w/ SME input</w:t>
      </w:r>
    </w:p>
    <w:p w14:paraId="1DB3C108" w14:textId="77777777" w:rsidR="009B2DB7" w:rsidRPr="009B2DB7" w:rsidRDefault="009B2DB7" w:rsidP="009B2DB7">
      <w:r w:rsidRPr="009B2DB7">
        <w:rPr>
          <w:b/>
          <w:bCs/>
        </w:rPr>
        <w:t>Cost &amp; Scaling</w:t>
      </w:r>
    </w:p>
    <w:p w14:paraId="14011CB6" w14:textId="77777777" w:rsidR="009B2DB7" w:rsidRPr="009B2DB7" w:rsidRDefault="009B2DB7" w:rsidP="009B2DB7">
      <w:pPr>
        <w:numPr>
          <w:ilvl w:val="0"/>
          <w:numId w:val="9"/>
        </w:numPr>
      </w:pPr>
      <w:r w:rsidRPr="009B2DB7">
        <w:t>Current: GPT-4 performance high, costs remain high</w:t>
      </w:r>
    </w:p>
    <w:p w14:paraId="09B72C91" w14:textId="77777777" w:rsidR="009B2DB7" w:rsidRPr="009B2DB7" w:rsidRDefault="009B2DB7" w:rsidP="009B2DB7">
      <w:pPr>
        <w:numPr>
          <w:ilvl w:val="0"/>
          <w:numId w:val="9"/>
        </w:numPr>
      </w:pPr>
      <w:r w:rsidRPr="009B2DB7">
        <w:t>Challenge: Large-scale ingestion not sustainable</w:t>
      </w:r>
    </w:p>
    <w:p w14:paraId="53355DDD" w14:textId="77777777" w:rsidR="009B2DB7" w:rsidRPr="009B2DB7" w:rsidRDefault="009B2DB7" w:rsidP="009B2DB7">
      <w:pPr>
        <w:numPr>
          <w:ilvl w:val="0"/>
          <w:numId w:val="9"/>
        </w:numPr>
      </w:pPr>
      <w:r w:rsidRPr="009B2DB7">
        <w:t>Future: Hybrid frontier + student/open-source models</w:t>
      </w:r>
    </w:p>
    <w:p w14:paraId="415EC10D" w14:textId="77777777" w:rsidR="009B2DB7" w:rsidRPr="009B2DB7" w:rsidRDefault="009B2DB7" w:rsidP="009B2DB7">
      <w:r w:rsidRPr="009B2DB7">
        <w:rPr>
          <w:b/>
          <w:bCs/>
        </w:rPr>
        <w:t>Governance &amp; Cultural Acceptance</w:t>
      </w:r>
    </w:p>
    <w:p w14:paraId="6B20DA6D" w14:textId="77777777" w:rsidR="009B2DB7" w:rsidRPr="009B2DB7" w:rsidRDefault="009B2DB7" w:rsidP="009B2DB7">
      <w:pPr>
        <w:numPr>
          <w:ilvl w:val="0"/>
          <w:numId w:val="10"/>
        </w:numPr>
      </w:pPr>
      <w:r w:rsidRPr="009B2DB7">
        <w:t>Current: No clear institutional guidelines</w:t>
      </w:r>
    </w:p>
    <w:p w14:paraId="6668651B" w14:textId="77777777" w:rsidR="009B2DB7" w:rsidRPr="009B2DB7" w:rsidRDefault="009B2DB7" w:rsidP="009B2DB7">
      <w:pPr>
        <w:numPr>
          <w:ilvl w:val="0"/>
          <w:numId w:val="10"/>
        </w:numPr>
      </w:pPr>
      <w:r w:rsidRPr="009B2DB7">
        <w:t>Challenge: Risk of hallucinations &amp; provenance gaps</w:t>
      </w:r>
    </w:p>
    <w:p w14:paraId="4DFBB106" w14:textId="77777777" w:rsidR="009B2DB7" w:rsidRPr="009B2DB7" w:rsidRDefault="009B2DB7" w:rsidP="009B2DB7">
      <w:pPr>
        <w:numPr>
          <w:ilvl w:val="0"/>
          <w:numId w:val="10"/>
        </w:numPr>
      </w:pPr>
      <w:r w:rsidRPr="009B2DB7">
        <w:t>Future: Formalize governance + expand from factual → analytic tasks</w:t>
      </w:r>
    </w:p>
    <w:p w14:paraId="73CA0811" w14:textId="77777777" w:rsidR="009B2DB7" w:rsidRDefault="009B2DB7" w:rsidP="00640307"/>
    <w:p w14:paraId="43F56E52" w14:textId="77777777" w:rsidR="009B2DB7" w:rsidRDefault="009B2DB7" w:rsidP="00640307"/>
    <w:p w14:paraId="48179A52" w14:textId="28A458F5" w:rsidR="00640307" w:rsidRDefault="00640307" w:rsidP="00640307">
      <w:r>
        <w:t>This project demonstrates the use of Generative AI (GAI) at an enterprise level to enrich documents with structured metadata at ingest, transforming open-source reporting into decision-grade intelligence. Incoming articles are screened for relevance to soft power influence, then processed through a GAI extraction layer that captures initiating and recipient countries, multiple categories and subcategories, events, geolocation, and distilled narrative text with embedded justification.</w:t>
      </w:r>
    </w:p>
    <w:p w14:paraId="4C88122E" w14:textId="77777777" w:rsidR="00640307" w:rsidRDefault="00640307" w:rsidP="00640307"/>
    <w:p w14:paraId="1B2E591D" w14:textId="77777777" w:rsidR="00640307" w:rsidRDefault="00640307" w:rsidP="00640307">
      <w:r>
        <w:t xml:space="preserve">The pipeline incorporates advanced context window management, including TF-IDF filtering and cosine similarity ranking, to ensure only high-signal content is carried forward. </w:t>
      </w:r>
      <w:r>
        <w:lastRenderedPageBreak/>
        <w:t>Daily distillations feed a context-management framework that produces both daily and weekly analytic artifacts, building a coherent, longitudinal narrative over time. An automated anomaly detection engine, combining STL decomposition with robust z-scores and peak detection, monitors category-level reporting trends and triggers surge reports explaining statistically significant shifts in coverage. These surge reports are automatically structured for policymakers, linking content directly to the events and actors driving the spike.</w:t>
      </w:r>
    </w:p>
    <w:p w14:paraId="5C1D5E50" w14:textId="77777777" w:rsidR="00640307" w:rsidRDefault="00640307" w:rsidP="00640307"/>
    <w:p w14:paraId="7A8E317E" w14:textId="6DB8066A" w:rsidR="00640307" w:rsidRDefault="00640307" w:rsidP="00640307">
      <w:r>
        <w:t>Currently, the system underpins the publication of monthly Soft Power Activity summaries. Its architecture also establishes the foundation for a Bayesian modeling layer to estimate the probability of a country gaining soft power–related strategic advantage in specific domains and regions, shifting the capability from descriptive monitoring to quantified early warning and delivering scalable, rapid-turn intelligence at enterprise level.</w:t>
      </w:r>
    </w:p>
    <w:sectPr w:rsidR="00640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10CF"/>
    <w:multiLevelType w:val="multilevel"/>
    <w:tmpl w:val="1ED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CC0"/>
    <w:multiLevelType w:val="multilevel"/>
    <w:tmpl w:val="B29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24F6"/>
    <w:multiLevelType w:val="multilevel"/>
    <w:tmpl w:val="390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4CB2"/>
    <w:multiLevelType w:val="multilevel"/>
    <w:tmpl w:val="18F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3DC8"/>
    <w:multiLevelType w:val="multilevel"/>
    <w:tmpl w:val="CB2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C6689"/>
    <w:multiLevelType w:val="multilevel"/>
    <w:tmpl w:val="C75A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96B6E"/>
    <w:multiLevelType w:val="multilevel"/>
    <w:tmpl w:val="78C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02C17"/>
    <w:multiLevelType w:val="multilevel"/>
    <w:tmpl w:val="470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22F4F"/>
    <w:multiLevelType w:val="multilevel"/>
    <w:tmpl w:val="6B2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B05E2"/>
    <w:multiLevelType w:val="multilevel"/>
    <w:tmpl w:val="B56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948232">
    <w:abstractNumId w:val="9"/>
  </w:num>
  <w:num w:numId="2" w16cid:durableId="916982040">
    <w:abstractNumId w:val="4"/>
  </w:num>
  <w:num w:numId="3" w16cid:durableId="1984039612">
    <w:abstractNumId w:val="1"/>
  </w:num>
  <w:num w:numId="4" w16cid:durableId="2102606484">
    <w:abstractNumId w:val="2"/>
  </w:num>
  <w:num w:numId="5" w16cid:durableId="1918055685">
    <w:abstractNumId w:val="7"/>
  </w:num>
  <w:num w:numId="6" w16cid:durableId="1538349520">
    <w:abstractNumId w:val="8"/>
  </w:num>
  <w:num w:numId="7" w16cid:durableId="539056816">
    <w:abstractNumId w:val="5"/>
  </w:num>
  <w:num w:numId="8" w16cid:durableId="1645696128">
    <w:abstractNumId w:val="6"/>
  </w:num>
  <w:num w:numId="9" w16cid:durableId="1781412948">
    <w:abstractNumId w:val="0"/>
  </w:num>
  <w:num w:numId="10" w16cid:durableId="135925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07"/>
    <w:rsid w:val="00275B0C"/>
    <w:rsid w:val="00640307"/>
    <w:rsid w:val="007F52E5"/>
    <w:rsid w:val="008417B7"/>
    <w:rsid w:val="009B2DB7"/>
    <w:rsid w:val="009F6CAE"/>
    <w:rsid w:val="00FF5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7AAF"/>
  <w15:chartTrackingRefBased/>
  <w15:docId w15:val="{8FABA81E-F217-43B2-98B2-356F3D60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07"/>
    <w:rPr>
      <w:rFonts w:eastAsiaTheme="majorEastAsia" w:cstheme="majorBidi"/>
      <w:color w:val="272727" w:themeColor="text1" w:themeTint="D8"/>
    </w:rPr>
  </w:style>
  <w:style w:type="paragraph" w:styleId="Title">
    <w:name w:val="Title"/>
    <w:basedOn w:val="Normal"/>
    <w:next w:val="Normal"/>
    <w:link w:val="TitleChar"/>
    <w:uiPriority w:val="10"/>
    <w:qFormat/>
    <w:rsid w:val="0064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07"/>
    <w:pPr>
      <w:spacing w:before="160"/>
      <w:jc w:val="center"/>
    </w:pPr>
    <w:rPr>
      <w:i/>
      <w:iCs/>
      <w:color w:val="404040" w:themeColor="text1" w:themeTint="BF"/>
    </w:rPr>
  </w:style>
  <w:style w:type="character" w:customStyle="1" w:styleId="QuoteChar">
    <w:name w:val="Quote Char"/>
    <w:basedOn w:val="DefaultParagraphFont"/>
    <w:link w:val="Quote"/>
    <w:uiPriority w:val="29"/>
    <w:rsid w:val="00640307"/>
    <w:rPr>
      <w:i/>
      <w:iCs/>
      <w:color w:val="404040" w:themeColor="text1" w:themeTint="BF"/>
    </w:rPr>
  </w:style>
  <w:style w:type="paragraph" w:styleId="ListParagraph">
    <w:name w:val="List Paragraph"/>
    <w:basedOn w:val="Normal"/>
    <w:uiPriority w:val="34"/>
    <w:qFormat/>
    <w:rsid w:val="00640307"/>
    <w:pPr>
      <w:ind w:left="720"/>
      <w:contextualSpacing/>
    </w:pPr>
  </w:style>
  <w:style w:type="character" w:styleId="IntenseEmphasis">
    <w:name w:val="Intense Emphasis"/>
    <w:basedOn w:val="DefaultParagraphFont"/>
    <w:uiPriority w:val="21"/>
    <w:qFormat/>
    <w:rsid w:val="00640307"/>
    <w:rPr>
      <w:i/>
      <w:iCs/>
      <w:color w:val="0F4761" w:themeColor="accent1" w:themeShade="BF"/>
    </w:rPr>
  </w:style>
  <w:style w:type="paragraph" w:styleId="IntenseQuote">
    <w:name w:val="Intense Quote"/>
    <w:basedOn w:val="Normal"/>
    <w:next w:val="Normal"/>
    <w:link w:val="IntenseQuoteChar"/>
    <w:uiPriority w:val="30"/>
    <w:qFormat/>
    <w:rsid w:val="0064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307"/>
    <w:rPr>
      <w:i/>
      <w:iCs/>
      <w:color w:val="0F4761" w:themeColor="accent1" w:themeShade="BF"/>
    </w:rPr>
  </w:style>
  <w:style w:type="character" w:styleId="IntenseReference">
    <w:name w:val="Intense Reference"/>
    <w:basedOn w:val="DefaultParagraphFont"/>
    <w:uiPriority w:val="32"/>
    <w:qFormat/>
    <w:rsid w:val="00640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42708">
      <w:bodyDiv w:val="1"/>
      <w:marLeft w:val="0"/>
      <w:marRight w:val="0"/>
      <w:marTop w:val="0"/>
      <w:marBottom w:val="0"/>
      <w:divBdr>
        <w:top w:val="none" w:sz="0" w:space="0" w:color="auto"/>
        <w:left w:val="none" w:sz="0" w:space="0" w:color="auto"/>
        <w:bottom w:val="none" w:sz="0" w:space="0" w:color="auto"/>
        <w:right w:val="none" w:sz="0" w:space="0" w:color="auto"/>
      </w:divBdr>
    </w:div>
    <w:div w:id="782922996">
      <w:bodyDiv w:val="1"/>
      <w:marLeft w:val="0"/>
      <w:marRight w:val="0"/>
      <w:marTop w:val="0"/>
      <w:marBottom w:val="0"/>
      <w:divBdr>
        <w:top w:val="none" w:sz="0" w:space="0" w:color="auto"/>
        <w:left w:val="none" w:sz="0" w:space="0" w:color="auto"/>
        <w:bottom w:val="none" w:sz="0" w:space="0" w:color="auto"/>
        <w:right w:val="none" w:sz="0" w:space="0" w:color="auto"/>
      </w:divBdr>
    </w:div>
    <w:div w:id="1100444661">
      <w:bodyDiv w:val="1"/>
      <w:marLeft w:val="0"/>
      <w:marRight w:val="0"/>
      <w:marTop w:val="0"/>
      <w:marBottom w:val="0"/>
      <w:divBdr>
        <w:top w:val="none" w:sz="0" w:space="0" w:color="auto"/>
        <w:left w:val="none" w:sz="0" w:space="0" w:color="auto"/>
        <w:bottom w:val="none" w:sz="0" w:space="0" w:color="auto"/>
        <w:right w:val="none" w:sz="0" w:space="0" w:color="auto"/>
      </w:divBdr>
    </w:div>
    <w:div w:id="1621109481">
      <w:bodyDiv w:val="1"/>
      <w:marLeft w:val="0"/>
      <w:marRight w:val="0"/>
      <w:marTop w:val="0"/>
      <w:marBottom w:val="0"/>
      <w:divBdr>
        <w:top w:val="none" w:sz="0" w:space="0" w:color="auto"/>
        <w:left w:val="none" w:sz="0" w:space="0" w:color="auto"/>
        <w:bottom w:val="none" w:sz="0" w:space="0" w:color="auto"/>
        <w:right w:val="none" w:sz="0" w:space="0" w:color="auto"/>
      </w:divBdr>
    </w:div>
    <w:div w:id="168678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matthew50</dc:creator>
  <cp:keywords/>
  <dc:description/>
  <cp:lastModifiedBy>matthew50</cp:lastModifiedBy>
  <cp:revision>4</cp:revision>
  <dcterms:created xsi:type="dcterms:W3CDTF">2025-08-14T19:37:00Z</dcterms:created>
  <dcterms:modified xsi:type="dcterms:W3CDTF">2025-09-17T17:53:00Z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b2fef4-3f15-4422-b43e-bb42715023dc_Enabled">
    <vt:lpwstr>true</vt:lpwstr>
  </property>
  <property fmtid="{D5CDD505-2E9C-101B-9397-08002B2CF9AE}" pid="3" name="MSIP_Label_99b2fef4-3f15-4422-b43e-bb42715023dc_SetDate">
    <vt:lpwstr>2025-08-14T19:36:23Z</vt:lpwstr>
  </property>
  <property fmtid="{D5CDD505-2E9C-101B-9397-08002B2CF9AE}" pid="4" name="MSIP_Label_99b2fef4-3f15-4422-b43e-bb42715023dc_Method">
    <vt:lpwstr>Privileged</vt:lpwstr>
  </property>
  <property fmtid="{D5CDD505-2E9C-101B-9397-08002B2CF9AE}" pid="5" name="MSIP_Label_99b2fef4-3f15-4422-b43e-bb42715023dc_Name">
    <vt:lpwstr>UNCLASSIFIED</vt:lpwstr>
  </property>
  <property fmtid="{D5CDD505-2E9C-101B-9397-08002B2CF9AE}" pid="6" name="MSIP_Label_99b2fef4-3f15-4422-b43e-bb42715023dc_SiteId">
    <vt:lpwstr>f8f6d4e3-afa9-4149-9012-cb5b450afd4f</vt:lpwstr>
  </property>
  <property fmtid="{D5CDD505-2E9C-101B-9397-08002B2CF9AE}" pid="7" name="MSIP_Label_99b2fef4-3f15-4422-b43e-bb42715023dc_ActionId">
    <vt:lpwstr>6c82b1b0-4f14-4a34-8d83-db8b647f90f6</vt:lpwstr>
  </property>
  <property fmtid="{D5CDD505-2E9C-101B-9397-08002B2CF9AE}" pid="8" name="MSIP_Label_99b2fef4-3f15-4422-b43e-bb42715023dc_ContentBits">
    <vt:lpwstr>0</vt:lpwstr>
  </property>
  <property fmtid="{D5CDD505-2E9C-101B-9397-08002B2CF9AE}" pid="9" name="MSIP_Label_99b2fef4-3f15-4422-b43e-bb42715023dc_Tag">
    <vt:lpwstr>10, 0, 1, 1</vt:lpwstr>
  </property>
</Properties>
</file>