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437" w:rsidRDefault="004F6437" w:rsidP="004F6437">
      <w:pPr>
        <w:pStyle w:val="Title"/>
      </w:pPr>
      <w:r>
        <w:t>FLIC Group Key Proposal</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pStyle w:val="Heading1"/>
      </w:pPr>
      <w:r>
        <w:t>Summary</w:t>
      </w:r>
    </w:p>
    <w:p w:rsidR="004F6437" w:rsidRDefault="004F6437" w:rsidP="004F6437"/>
    <w:p w:rsidR="004F6437" w:rsidRDefault="004F6437" w:rsidP="004F6437">
      <w:r>
        <w:t xml:space="preserve">There are three actors: the key manager, the publisher, and the consumer.  The </w:t>
      </w:r>
      <w:r w:rsidR="002E6AEE">
        <w:t>key manager</w:t>
      </w:r>
      <w:r>
        <w:t xml:space="preserve"> could be the publisher.</w:t>
      </w:r>
    </w:p>
    <w:p w:rsidR="00176E24" w:rsidRDefault="00176E24" w:rsidP="004F6437"/>
    <w:p w:rsidR="00176E24" w:rsidRDefault="00176E24" w:rsidP="004F6437">
      <w:r>
        <w:t>We assume all key pairs are Elliptic Curve from a good curve, such as SECP384R1.  They do not all need to be from the same curve.  RSA could be used with appropriate algorithm changes, which we describe at the end.</w:t>
      </w:r>
    </w:p>
    <w:p w:rsidR="004F6437" w:rsidRDefault="004F6437" w:rsidP="004F6437"/>
    <w:p w:rsidR="00BA0615" w:rsidRDefault="00BA0615" w:rsidP="004F6437">
      <w:r>
        <w:t>A consumer has a long-term trusted key pair (CSK, CPK) (consumer secret/public key).</w:t>
      </w:r>
    </w:p>
    <w:p w:rsidR="00BA0615" w:rsidRDefault="00BA0615" w:rsidP="004F6437"/>
    <w:p w:rsidR="004F6437" w:rsidRDefault="004F6437" w:rsidP="004F6437">
      <w:r>
        <w:t>A named group has an evolving group key.  As users are removed from the group, the group key must evolve.  Adding users can be done without changing the group key.  We denote this key a</w:t>
      </w:r>
      <w:r w:rsidR="00BA0615">
        <w:t>s</w:t>
      </w:r>
      <w:r>
        <w:t xml:space="preserve"> (GSK, GPK) (group secret/public key).  </w:t>
      </w:r>
      <w:r w:rsidR="00176E24">
        <w:t>This is a long-term keypair</w:t>
      </w:r>
      <w:r w:rsidR="00BA0615">
        <w:t xml:space="preserve">.  </w:t>
      </w:r>
      <w:r>
        <w:t>The key manger must share the GSK with group members.</w:t>
      </w:r>
      <w:r w:rsidR="00CC382B">
        <w:t xml:space="preserve">  The published object is signed by the key manager</w:t>
      </w:r>
      <w:r w:rsidR="00176E24">
        <w:t xml:space="preserve"> using its trusted long-term key pair (</w:t>
      </w:r>
      <w:proofErr w:type="spellStart"/>
      <w:r w:rsidR="00176E24">
        <w:t>KmSK</w:t>
      </w:r>
      <w:proofErr w:type="spellEnd"/>
      <w:r w:rsidR="00176E24">
        <w:t>/</w:t>
      </w:r>
      <w:proofErr w:type="spellStart"/>
      <w:r w:rsidR="00176E24">
        <w:t>KmPK</w:t>
      </w:r>
      <w:proofErr w:type="spellEnd"/>
      <w:r w:rsidR="00176E24">
        <w:t>).</w:t>
      </w:r>
      <w:r w:rsidR="00BA0615">
        <w:t xml:space="preserve">  The key manager may support groups of groups, </w:t>
      </w:r>
      <w:r w:rsidR="008D7096">
        <w:t>in which case it must support a method for a user to decide if they are a member of a group by the group’s key id (i.e. sha256(GPK)) and to fetch that key.</w:t>
      </w:r>
    </w:p>
    <w:p w:rsidR="004F6437" w:rsidRDefault="004F6437" w:rsidP="004F6437"/>
    <w:p w:rsidR="004F6437" w:rsidRDefault="004F6437" w:rsidP="004F6437">
      <w:r>
        <w:t>A publisher uses a wrapping key pair to share a symmetric key.  The wrapping key is usually a</w:t>
      </w:r>
      <w:r w:rsidR="00176E24">
        <w:t xml:space="preserve"> short-term (but not </w:t>
      </w:r>
      <w:proofErr w:type="spellStart"/>
      <w:r w:rsidR="00176E24">
        <w:t>emphemeral</w:t>
      </w:r>
      <w:proofErr w:type="spellEnd"/>
      <w:r w:rsidR="00176E24">
        <w:t>)</w:t>
      </w:r>
      <w:r>
        <w:t xml:space="preserve"> EC keypair.  We denote this keypair as (WSK, WPK).  </w:t>
      </w:r>
      <w:r w:rsidR="002E6AEE">
        <w:t xml:space="preserve">The wrapping key pair could be used for a period of time, or over several related objects, or for a single manifest.  </w:t>
      </w:r>
      <w:r>
        <w:t>The publisher will encrypt WSK under GPK and publish it where manifest consumers may fetch it.</w:t>
      </w:r>
      <w:r w:rsidR="002E6AEE">
        <w:t xml:space="preserve">  There is a </w:t>
      </w:r>
      <w:proofErr w:type="spellStart"/>
      <w:r w:rsidR="002E6AEE" w:rsidRPr="002E6AEE">
        <w:rPr>
          <w:i/>
          <w:iCs/>
        </w:rPr>
        <w:t>WrappedKeyName</w:t>
      </w:r>
      <w:proofErr w:type="spellEnd"/>
      <w:r w:rsidR="002E6AEE">
        <w:t xml:space="preserve"> that is placed in a manifest to resolve this key.  The published object is signed by the publisher using its </w:t>
      </w:r>
      <w:r w:rsidR="00176E24">
        <w:t>long-term (EC) trusted key pair (</w:t>
      </w:r>
      <w:proofErr w:type="spellStart"/>
      <w:r w:rsidR="00176E24">
        <w:t>PuSK</w:t>
      </w:r>
      <w:proofErr w:type="spellEnd"/>
      <w:r w:rsidR="00176E24">
        <w:t>/</w:t>
      </w:r>
      <w:proofErr w:type="spellStart"/>
      <w:r w:rsidR="00176E24">
        <w:t>PuPK</w:t>
      </w:r>
      <w:proofErr w:type="spellEnd"/>
      <w:r w:rsidR="00176E24">
        <w:t>).</w:t>
      </w:r>
    </w:p>
    <w:p w:rsidR="004F6437" w:rsidRDefault="004F6437" w:rsidP="004F6437"/>
    <w:p w:rsidR="004F6437" w:rsidRDefault="004F6437" w:rsidP="004F6437">
      <w:r>
        <w:t>A publisher creates a master secret symmetric key and derives content encryption keys (CEKs) from the master secret.  A CEK is used to encrypt the manifest.  If the wrapping key is ECC, we use a 1-ephemeral, 1-secret Diffie-Hellman key exchange (ECDHE). The ECDHE offer is published as part of the root manifest and anyone with WSK can derive the same master secret and subsequent CEKs.</w:t>
      </w:r>
      <w:r w:rsidR="00CC382B">
        <w:t xml:space="preserve">  Because the published offer is signed by the publisher’s </w:t>
      </w:r>
      <w:r w:rsidR="00CF5835">
        <w:t>long-term ECC</w:t>
      </w:r>
      <w:r w:rsidR="00CC382B">
        <w:t xml:space="preserve"> key, this is equivalent to ECDHE-</w:t>
      </w:r>
      <w:r w:rsidR="00CF5835">
        <w:t>ECDSA</w:t>
      </w:r>
      <w:r w:rsidR="00CC382B">
        <w:t>.</w:t>
      </w:r>
    </w:p>
    <w:p w:rsidR="002E6AEE" w:rsidRDefault="002E6AEE" w:rsidP="004F6437"/>
    <w:p w:rsidR="002E6AEE" w:rsidRDefault="002E6AEE" w:rsidP="004F6437">
      <w:r>
        <w:t xml:space="preserve">The key manager could simply publish GSK wrapped (e.g. </w:t>
      </w:r>
      <w:r w:rsidR="00CF5835">
        <w:t>ECC-</w:t>
      </w:r>
      <w:r>
        <w:t xml:space="preserve">) under each user’s public key.  Or it could use a proxy re-encryption technique (e.g. </w:t>
      </w:r>
      <w:r w:rsidRPr="002E6AEE">
        <w:t>[</w:t>
      </w:r>
      <w:proofErr w:type="spellStart"/>
      <w:r w:rsidRPr="002E6AEE">
        <w:t>Ateniese</w:t>
      </w:r>
      <w:proofErr w:type="spellEnd"/>
      <w:r w:rsidRPr="002E6AEE">
        <w:t>]</w:t>
      </w:r>
      <w:r>
        <w:t xml:space="preserve"> or [Wang]).  The method of sharing the GSK is beyond the scope of this document.  We assume that all parties have a method to resolve a group name to a group key, and there exists a </w:t>
      </w:r>
      <w:proofErr w:type="spellStart"/>
      <w:r w:rsidRPr="002E6AEE">
        <w:rPr>
          <w:i/>
          <w:iCs/>
        </w:rPr>
        <w:t>GroupKeyName</w:t>
      </w:r>
      <w:proofErr w:type="spellEnd"/>
      <w:r>
        <w:t xml:space="preserve"> that can be included with the publisher’s encrypted WSK to resolve the appropriate GSK.</w:t>
      </w:r>
    </w:p>
    <w:p w:rsidR="002E6AEE" w:rsidRDefault="002E6AEE" w:rsidP="004F6437"/>
    <w:p w:rsidR="002E6AEE" w:rsidRDefault="002E6AEE" w:rsidP="004F6437"/>
    <w:tbl>
      <w:tblPr>
        <w:tblStyle w:val="TableGrid"/>
        <w:tblW w:w="0" w:type="auto"/>
        <w:tblLook w:val="04A0" w:firstRow="1" w:lastRow="0" w:firstColumn="1" w:lastColumn="0" w:noHBand="0" w:noVBand="1"/>
      </w:tblPr>
      <w:tblGrid>
        <w:gridCol w:w="2425"/>
        <w:gridCol w:w="6925"/>
      </w:tblGrid>
      <w:tr w:rsidR="00BA0615" w:rsidRPr="00BA0615" w:rsidTr="00BA0615">
        <w:tc>
          <w:tcPr>
            <w:tcW w:w="2425" w:type="dxa"/>
            <w:shd w:val="clear" w:color="auto" w:fill="000000" w:themeFill="text1"/>
          </w:tcPr>
          <w:p w:rsidR="00BA0615" w:rsidRPr="00BA0615" w:rsidRDefault="00BA0615" w:rsidP="004F6437">
            <w:pPr>
              <w:rPr>
                <w:b/>
                <w:bCs/>
                <w:color w:val="FFFFFF" w:themeColor="background1"/>
              </w:rPr>
            </w:pPr>
            <w:r w:rsidRPr="00BA0615">
              <w:rPr>
                <w:b/>
                <w:bCs/>
                <w:color w:val="FFFFFF" w:themeColor="background1"/>
              </w:rPr>
              <w:lastRenderedPageBreak/>
              <w:t>RSA Keypair</w:t>
            </w:r>
          </w:p>
        </w:tc>
        <w:tc>
          <w:tcPr>
            <w:tcW w:w="6925" w:type="dxa"/>
            <w:shd w:val="clear" w:color="auto" w:fill="000000" w:themeFill="text1"/>
          </w:tcPr>
          <w:p w:rsidR="00BA0615" w:rsidRPr="00BA0615" w:rsidRDefault="00BA0615" w:rsidP="004F6437">
            <w:pPr>
              <w:rPr>
                <w:b/>
                <w:bCs/>
                <w:color w:val="FFFFFF" w:themeColor="background1"/>
              </w:rPr>
            </w:pPr>
            <w:r w:rsidRPr="00BA0615">
              <w:rPr>
                <w:b/>
                <w:bCs/>
                <w:color w:val="FFFFFF" w:themeColor="background1"/>
              </w:rPr>
              <w:t>Protocol Change</w:t>
            </w:r>
          </w:p>
        </w:tc>
      </w:tr>
      <w:tr w:rsidR="00BA0615" w:rsidTr="00BA0615">
        <w:tc>
          <w:tcPr>
            <w:tcW w:w="2425" w:type="dxa"/>
          </w:tcPr>
          <w:p w:rsidR="00BA0615" w:rsidRDefault="00BA0615" w:rsidP="004F6437">
            <w:proofErr w:type="spellStart"/>
            <w:r>
              <w:t>KmSK</w:t>
            </w:r>
            <w:proofErr w:type="spellEnd"/>
            <w:r>
              <w:t xml:space="preserve">, </w:t>
            </w:r>
            <w:proofErr w:type="spellStart"/>
            <w:r>
              <w:t>KmPK</w:t>
            </w:r>
            <w:proofErr w:type="spellEnd"/>
          </w:p>
        </w:tc>
        <w:tc>
          <w:tcPr>
            <w:tcW w:w="6925" w:type="dxa"/>
          </w:tcPr>
          <w:p w:rsidR="00BA0615" w:rsidRDefault="00BA0615" w:rsidP="004F6437">
            <w:r>
              <w:t>Use RSA -SHA256-PSS for signatures</w:t>
            </w:r>
          </w:p>
        </w:tc>
      </w:tr>
      <w:tr w:rsidR="00BA0615" w:rsidTr="00BA0615">
        <w:tc>
          <w:tcPr>
            <w:tcW w:w="2425" w:type="dxa"/>
          </w:tcPr>
          <w:p w:rsidR="00BA0615" w:rsidRDefault="00BA0615" w:rsidP="004F6437">
            <w:proofErr w:type="spellStart"/>
            <w:r>
              <w:t>PuSK</w:t>
            </w:r>
            <w:proofErr w:type="spellEnd"/>
            <w:r>
              <w:t xml:space="preserve">, </w:t>
            </w:r>
            <w:proofErr w:type="spellStart"/>
            <w:r>
              <w:t>PuPK</w:t>
            </w:r>
            <w:proofErr w:type="spellEnd"/>
          </w:p>
        </w:tc>
        <w:tc>
          <w:tcPr>
            <w:tcW w:w="6925" w:type="dxa"/>
          </w:tcPr>
          <w:p w:rsidR="00BA0615" w:rsidRDefault="00BA0615" w:rsidP="004F6437">
            <w:r>
              <w:t>Use RSA-SHA256-PSS for signatures</w:t>
            </w:r>
          </w:p>
        </w:tc>
      </w:tr>
      <w:tr w:rsidR="00BA0615" w:rsidTr="00BA0615">
        <w:tc>
          <w:tcPr>
            <w:tcW w:w="2425" w:type="dxa"/>
          </w:tcPr>
          <w:p w:rsidR="00BA0615" w:rsidRDefault="00BA0615" w:rsidP="004F6437">
            <w:r>
              <w:t>CSK, CPK</w:t>
            </w:r>
          </w:p>
        </w:tc>
        <w:tc>
          <w:tcPr>
            <w:tcW w:w="6925" w:type="dxa"/>
          </w:tcPr>
          <w:p w:rsidR="00BA0615" w:rsidRDefault="00BA0615" w:rsidP="004F6437">
            <w:r>
              <w:t xml:space="preserve">Use RSA-OAEP with AES-KWP to </w:t>
            </w:r>
            <w:r>
              <w:t>wrap</w:t>
            </w:r>
            <w:r>
              <w:t xml:space="preserve"> GSK</w:t>
            </w:r>
          </w:p>
        </w:tc>
      </w:tr>
      <w:tr w:rsidR="00BA0615" w:rsidTr="00BA0615">
        <w:tc>
          <w:tcPr>
            <w:tcW w:w="2425" w:type="dxa"/>
          </w:tcPr>
          <w:p w:rsidR="00BA0615" w:rsidRDefault="00BA0615" w:rsidP="004F6437">
            <w:r>
              <w:t>GSK, GPK</w:t>
            </w:r>
          </w:p>
        </w:tc>
        <w:tc>
          <w:tcPr>
            <w:tcW w:w="6925" w:type="dxa"/>
          </w:tcPr>
          <w:p w:rsidR="00BA0615" w:rsidRDefault="00BA0615" w:rsidP="004F6437">
            <w:r>
              <w:t>Use RSA-OAEP with AES-KWP to wrap WSK</w:t>
            </w:r>
          </w:p>
        </w:tc>
      </w:tr>
      <w:tr w:rsidR="00BA0615" w:rsidTr="00BA0615">
        <w:tc>
          <w:tcPr>
            <w:tcW w:w="2425" w:type="dxa"/>
          </w:tcPr>
          <w:p w:rsidR="00BA0615" w:rsidRDefault="00BA0615" w:rsidP="004F6437">
            <w:r>
              <w:t>WSK, WPK</w:t>
            </w:r>
          </w:p>
        </w:tc>
        <w:tc>
          <w:tcPr>
            <w:tcW w:w="6925" w:type="dxa"/>
          </w:tcPr>
          <w:p w:rsidR="00BA0615" w:rsidRDefault="00BA0615" w:rsidP="004F6437">
            <w:r>
              <w:t>Use RSA-OAEP</w:t>
            </w:r>
            <w:r>
              <w:t xml:space="preserve"> to wrap a random master secret</w:t>
            </w:r>
          </w:p>
        </w:tc>
      </w:tr>
    </w:tbl>
    <w:p w:rsidR="004F6437" w:rsidRPr="004F6437" w:rsidRDefault="004F6437" w:rsidP="004F6437"/>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 xml:space="preserve">A Key Manager (KM) manages groups.  It issues each group a long-term (until membership changes). </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The KM publishes /</w:t>
      </w:r>
      <w:proofErr w:type="spellStart"/>
      <w:r>
        <w:rPr>
          <w:rFonts w:ascii="Helvetica" w:hAnsi="Helvetica" w:cs="Helvetica"/>
          <w:sz w:val="28"/>
          <w:szCs w:val="28"/>
        </w:rPr>
        <w:t>key_manager</w:t>
      </w:r>
      <w:proofErr w:type="spellEnd"/>
      <w:r>
        <w:rPr>
          <w:rFonts w:ascii="Helvetica" w:hAnsi="Helvetica" w:cs="Helvetica"/>
          <w:sz w:val="28"/>
          <w:szCs w:val="28"/>
        </w:rPr>
        <w:t>/somewhere/&lt;</w:t>
      </w:r>
      <w:proofErr w:type="spellStart"/>
      <w:r>
        <w:rPr>
          <w:rFonts w:ascii="Helvetica" w:hAnsi="Helvetica" w:cs="Helvetica"/>
          <w:sz w:val="28"/>
          <w:szCs w:val="28"/>
        </w:rPr>
        <w:t>group_name</w:t>
      </w:r>
      <w:proofErr w:type="spellEnd"/>
      <w:r>
        <w:rPr>
          <w:rFonts w:ascii="Helvetica" w:hAnsi="Helvetica" w:cs="Helvetica"/>
          <w:sz w:val="28"/>
          <w:szCs w:val="28"/>
        </w:rPr>
        <w:t>&gt;/&lt;version&gt; with a link to the current key’s namespace: /</w:t>
      </w:r>
      <w:proofErr w:type="spellStart"/>
      <w:r>
        <w:rPr>
          <w:rFonts w:ascii="Helvetica" w:hAnsi="Helvetica" w:cs="Helvetica"/>
          <w:sz w:val="28"/>
          <w:szCs w:val="28"/>
        </w:rPr>
        <w:t>key_manager</w:t>
      </w:r>
      <w:proofErr w:type="spellEnd"/>
      <w:r>
        <w:rPr>
          <w:rFonts w:ascii="Helvetica" w:hAnsi="Helvetica" w:cs="Helvetica"/>
          <w:sz w:val="28"/>
          <w:szCs w:val="28"/>
        </w:rPr>
        <w:t xml:space="preserve">/somewhere/&lt;ID(GPK)&gt;.  In </w:t>
      </w:r>
      <w:proofErr w:type="spellStart"/>
      <w:r>
        <w:rPr>
          <w:rFonts w:ascii="Helvetica" w:hAnsi="Helvetica" w:cs="Helvetica"/>
          <w:sz w:val="28"/>
          <w:szCs w:val="28"/>
        </w:rPr>
        <w:t>CCNx</w:t>
      </w:r>
      <w:proofErr w:type="spellEnd"/>
      <w:r>
        <w:rPr>
          <w:rFonts w:ascii="Helvetica" w:hAnsi="Helvetica" w:cs="Helvetica"/>
          <w:sz w:val="28"/>
          <w:szCs w:val="28"/>
        </w:rPr>
        <w:t>, it also publishes a short-lived /</w:t>
      </w:r>
      <w:proofErr w:type="spellStart"/>
      <w:r>
        <w:rPr>
          <w:rFonts w:ascii="Helvetica" w:hAnsi="Helvetica" w:cs="Helvetica"/>
          <w:sz w:val="28"/>
          <w:szCs w:val="28"/>
        </w:rPr>
        <w:t>key_manager</w:t>
      </w:r>
      <w:proofErr w:type="spellEnd"/>
      <w:r>
        <w:rPr>
          <w:rFonts w:ascii="Helvetica" w:hAnsi="Helvetica" w:cs="Helvetica"/>
          <w:sz w:val="28"/>
          <w:szCs w:val="28"/>
        </w:rPr>
        <w:t>/somewhere/&lt;</w:t>
      </w:r>
      <w:proofErr w:type="spellStart"/>
      <w:r>
        <w:rPr>
          <w:rFonts w:ascii="Helvetica" w:hAnsi="Helvetica" w:cs="Helvetica"/>
          <w:sz w:val="28"/>
          <w:szCs w:val="28"/>
        </w:rPr>
        <w:t>group_name</w:t>
      </w:r>
      <w:proofErr w:type="spellEnd"/>
      <w:r>
        <w:rPr>
          <w:rFonts w:ascii="Helvetica" w:hAnsi="Helvetica" w:cs="Helvetica"/>
          <w:sz w:val="28"/>
          <w:szCs w:val="28"/>
        </w:rPr>
        <w:t xml:space="preserve">&gt; that points to the current version.  However, the normal lookup scheme is from a manifest up to the group key.  The RSA group key is GPK/GSK (public/secret keys).  </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Each user has a UPK/USK (user public/secret key), and the KM knows the UPK.  It publishes these under /</w:t>
      </w:r>
      <w:proofErr w:type="spellStart"/>
      <w:r>
        <w:rPr>
          <w:rFonts w:ascii="Helvetica" w:hAnsi="Helvetica" w:cs="Helvetica"/>
          <w:sz w:val="28"/>
          <w:szCs w:val="28"/>
        </w:rPr>
        <w:t>key_manager</w:t>
      </w:r>
      <w:proofErr w:type="spellEnd"/>
      <w:r>
        <w:rPr>
          <w:rFonts w:ascii="Helvetica" w:hAnsi="Helvetica" w:cs="Helvetica"/>
          <w:sz w:val="28"/>
          <w:szCs w:val="28"/>
        </w:rPr>
        <w:t xml:space="preserve">/somewhere/&lt;ID(GPK)&gt;/&lt;ID(UPK)&gt; as a content object that holds the GSK encrypted under UPK using RSA-OAEP (see </w:t>
      </w:r>
      <w:proofErr w:type="spellStart"/>
      <w:r>
        <w:rPr>
          <w:rFonts w:ascii="Helvetica" w:hAnsi="Helvetica" w:cs="Helvetica"/>
          <w:sz w:val="28"/>
          <w:szCs w:val="28"/>
        </w:rPr>
        <w:t>RsaKeyWrap</w:t>
      </w:r>
      <w:proofErr w:type="spellEnd"/>
      <w:r>
        <w:rPr>
          <w:rFonts w:ascii="Helvetica" w:hAnsi="Helvetica" w:cs="Helvetica"/>
          <w:sz w:val="28"/>
          <w:szCs w:val="28"/>
        </w:rPr>
        <w:t>() below).  We take ID(.) to be SHA256(.).  The KM can be the same as the publisher.</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If using Proxy Re-encryption (e.g. [</w:t>
      </w:r>
      <w:proofErr w:type="spellStart"/>
      <w:r>
        <w:rPr>
          <w:rFonts w:ascii="Helvetica" w:hAnsi="Helvetica" w:cs="Helvetica"/>
          <w:sz w:val="28"/>
          <w:szCs w:val="28"/>
        </w:rPr>
        <w:t>Ateniese</w:t>
      </w:r>
      <w:proofErr w:type="spellEnd"/>
      <w:r>
        <w:rPr>
          <w:rFonts w:ascii="Helvetica" w:hAnsi="Helvetica" w:cs="Helvetica"/>
          <w:sz w:val="28"/>
          <w:szCs w:val="28"/>
        </w:rPr>
        <w:t>, “third attempt”]</w:t>
      </w:r>
      <w:r w:rsidR="0045779D">
        <w:rPr>
          <w:rFonts w:ascii="Helvetica" w:hAnsi="Helvetica" w:cs="Helvetica"/>
          <w:sz w:val="28"/>
          <w:szCs w:val="28"/>
        </w:rPr>
        <w:t>[</w:t>
      </w:r>
      <w:proofErr w:type="spellStart"/>
      <w:r w:rsidR="0045779D" w:rsidRPr="0045779D">
        <w:rPr>
          <w:rFonts w:ascii="Helvetica" w:eastAsiaTheme="minorHAnsi" w:hAnsi="Helvetica" w:cs="Helvetica"/>
          <w:sz w:val="28"/>
          <w:szCs w:val="28"/>
        </w:rPr>
        <w:t>Hohenberger</w:t>
      </w:r>
      <w:proofErr w:type="spellEnd"/>
      <w:r w:rsidR="0045779D">
        <w:rPr>
          <w:rFonts w:ascii="Helvetica" w:eastAsiaTheme="minorHAnsi" w:hAnsi="Helvetica" w:cs="Helvetica"/>
          <w:sz w:val="28"/>
          <w:szCs w:val="28"/>
        </w:rPr>
        <w:t>]</w:t>
      </w:r>
      <w:r>
        <w:rPr>
          <w:rFonts w:ascii="Helvetica" w:hAnsi="Helvetica" w:cs="Helvetica"/>
          <w:sz w:val="28"/>
          <w:szCs w:val="28"/>
        </w:rPr>
        <w:t>), the KM creates a re-encryption key pair.  It publishes the long-term public key and each</w:t>
      </w:r>
      <w:bookmarkStart w:id="0" w:name="_GoBack"/>
      <w:bookmarkEnd w:id="0"/>
      <w:r>
        <w:rPr>
          <w:rFonts w:ascii="Helvetica" w:hAnsi="Helvetica" w:cs="Helvetica"/>
          <w:sz w:val="28"/>
          <w:szCs w:val="28"/>
        </w:rPr>
        <w:t xml:space="preserve"> user’s long-term re-encryption key (which could be generated on-demand), encrypted for that user.  It creates a GSK for the group and performs a second level encryption using the long-term public key.  Each user may fetch that single object and re-encrypt it to a level 1 encryption that it can then decrypt with its long-term secret key.  As per </w:t>
      </w:r>
      <w:proofErr w:type="spellStart"/>
      <w:r>
        <w:rPr>
          <w:rFonts w:ascii="Helvetica" w:hAnsi="Helvetica" w:cs="Helvetica"/>
          <w:sz w:val="28"/>
          <w:szCs w:val="28"/>
        </w:rPr>
        <w:t>Ateniese</w:t>
      </w:r>
      <w:proofErr w:type="spellEnd"/>
      <w:r>
        <w:rPr>
          <w:rFonts w:ascii="Helvetica" w:hAnsi="Helvetica" w:cs="Helvetica"/>
          <w:sz w:val="28"/>
          <w:szCs w:val="28"/>
        </w:rPr>
        <w:t>, in this scheme the publisher could create the GSK and make a level 2 encryption using the KM’s public key and publish it under its own namespace and users could decrypt it using their re-encryption key.  This avoids the KM knowing the GSK.  [Wang] is another possibility.</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 xml:space="preserve">A Publisher creates a wrapping key pair (WPK/WSK), such as from ECC SECP384R1.  It may use it for a specific FLIC manifest or a set of manifests or for a time period.  It will publish it under </w:t>
      </w:r>
      <w:r>
        <w:rPr>
          <w:rFonts w:ascii="Helvetica" w:hAnsi="Helvetica" w:cs="Helvetica"/>
          <w:sz w:val="28"/>
          <w:szCs w:val="28"/>
        </w:rPr>
        <w:lastRenderedPageBreak/>
        <w:t xml:space="preserve">/publisher/elsewhere/&lt;ID(WPK)&gt; as an object that has the WSP wrapped under GPK using RSA-OAEP (see </w:t>
      </w:r>
      <w:proofErr w:type="spellStart"/>
      <w:r>
        <w:rPr>
          <w:rFonts w:ascii="Helvetica" w:hAnsi="Helvetica" w:cs="Helvetica"/>
          <w:sz w:val="28"/>
          <w:szCs w:val="28"/>
        </w:rPr>
        <w:t>RsaKeyWrap</w:t>
      </w:r>
      <w:proofErr w:type="spellEnd"/>
      <w:r>
        <w:rPr>
          <w:rFonts w:ascii="Helvetica" w:hAnsi="Helvetica" w:cs="Helvetica"/>
          <w:sz w:val="28"/>
          <w:szCs w:val="28"/>
        </w:rPr>
        <w:t xml:space="preserve">() below).  The Content Object also identifies the {ID(GPK), </w:t>
      </w:r>
      <w:proofErr w:type="spellStart"/>
      <w:r>
        <w:rPr>
          <w:rFonts w:ascii="Helvetica" w:hAnsi="Helvetica" w:cs="Helvetica"/>
          <w:sz w:val="28"/>
          <w:szCs w:val="28"/>
        </w:rPr>
        <w:t>GroupKeyLocator</w:t>
      </w:r>
      <w:proofErr w:type="spellEnd"/>
      <w:r>
        <w:rPr>
          <w:rFonts w:ascii="Helvetica" w:hAnsi="Helvetica" w:cs="Helvetica"/>
          <w:sz w:val="28"/>
          <w:szCs w:val="28"/>
        </w:rPr>
        <w:t xml:space="preserve">}, where </w:t>
      </w:r>
      <w:proofErr w:type="spellStart"/>
      <w:r>
        <w:rPr>
          <w:rFonts w:ascii="Helvetica" w:hAnsi="Helvetica" w:cs="Helvetica"/>
          <w:sz w:val="28"/>
          <w:szCs w:val="28"/>
        </w:rPr>
        <w:t>GroupKeyLocator</w:t>
      </w:r>
      <w:proofErr w:type="spellEnd"/>
      <w:r>
        <w:rPr>
          <w:rFonts w:ascii="Helvetica" w:hAnsi="Helvetica" w:cs="Helvetica"/>
          <w:sz w:val="28"/>
          <w:szCs w:val="28"/>
        </w:rPr>
        <w:t xml:space="preserve"> is, for example, /</w:t>
      </w:r>
      <w:proofErr w:type="spellStart"/>
      <w:r>
        <w:rPr>
          <w:rFonts w:ascii="Helvetica" w:hAnsi="Helvetica" w:cs="Helvetica"/>
          <w:sz w:val="28"/>
          <w:szCs w:val="28"/>
        </w:rPr>
        <w:t>key_manager</w:t>
      </w:r>
      <w:proofErr w:type="spellEnd"/>
      <w:r>
        <w:rPr>
          <w:rFonts w:ascii="Helvetica" w:hAnsi="Helvetica" w:cs="Helvetica"/>
          <w:sz w:val="28"/>
          <w:szCs w:val="28"/>
        </w:rPr>
        <w:t>/somewhere.</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 xml:space="preserve">To generate a data key (DK) to encrypt a manifest, the publisher uses a 1-sided ephemeral Diffie-Hellman key exchange.  The ECDHE uses WPK public key and the secret key from an ephemeral key pair EPK/ESK to create a shared master secret then uses HKDF-SHA256 to derive a 256-bit AES key for DK.  Part of the KDF input is the </w:t>
      </w:r>
      <w:proofErr w:type="spellStart"/>
      <w:r>
        <w:rPr>
          <w:rFonts w:ascii="Helvetica" w:hAnsi="Helvetica" w:cs="Helvetica"/>
          <w:sz w:val="28"/>
          <w:szCs w:val="28"/>
        </w:rPr>
        <w:t>KeyNum</w:t>
      </w:r>
      <w:proofErr w:type="spellEnd"/>
      <w:r>
        <w:rPr>
          <w:rFonts w:ascii="Helvetica" w:hAnsi="Helvetica" w:cs="Helvetica"/>
          <w:sz w:val="28"/>
          <w:szCs w:val="28"/>
        </w:rPr>
        <w:t xml:space="preserve"> used to identify the particular DK.  This allows the publisher to derive multiple DKs from the same master secret wrapped in the root manifest.</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 xml:space="preserve">If WPK/WSK are an RSA key pair, then generate a random master secret and use RSA-ENC(WPK, </w:t>
      </w:r>
      <w:proofErr w:type="spellStart"/>
      <w:r>
        <w:rPr>
          <w:rFonts w:ascii="Helvetica" w:hAnsi="Helvetica" w:cs="Helvetica"/>
          <w:sz w:val="28"/>
          <w:szCs w:val="28"/>
        </w:rPr>
        <w:t>master_secret</w:t>
      </w:r>
      <w:proofErr w:type="spellEnd"/>
      <w:r>
        <w:rPr>
          <w:rFonts w:ascii="Helvetica" w:hAnsi="Helvetica" w:cs="Helvetica"/>
          <w:sz w:val="28"/>
          <w:szCs w:val="28"/>
        </w:rPr>
        <w:t>, RSA-OAEP) instead of the ECDHE method.</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 xml:space="preserve">In the root manifest, the publisher includes {ID(WPK), </w:t>
      </w:r>
      <w:proofErr w:type="spellStart"/>
      <w:r>
        <w:rPr>
          <w:rFonts w:ascii="Helvetica" w:hAnsi="Helvetica" w:cs="Helvetica"/>
          <w:sz w:val="28"/>
          <w:szCs w:val="28"/>
        </w:rPr>
        <w:t>WrapKeyPrefix</w:t>
      </w:r>
      <w:proofErr w:type="spellEnd"/>
      <w:r>
        <w:rPr>
          <w:rFonts w:ascii="Helvetica" w:hAnsi="Helvetica" w:cs="Helvetica"/>
          <w:sz w:val="28"/>
          <w:szCs w:val="28"/>
        </w:rPr>
        <w:t xml:space="preserve">, </w:t>
      </w:r>
      <w:proofErr w:type="spellStart"/>
      <w:r>
        <w:rPr>
          <w:rFonts w:ascii="Helvetica" w:hAnsi="Helvetica" w:cs="Helvetica"/>
          <w:sz w:val="28"/>
          <w:szCs w:val="28"/>
        </w:rPr>
        <w:t>WrappedKey</w:t>
      </w:r>
      <w:proofErr w:type="spellEnd"/>
      <w:r>
        <w:rPr>
          <w:rFonts w:ascii="Helvetica" w:hAnsi="Helvetica" w:cs="Helvetica"/>
          <w:sz w:val="28"/>
          <w:szCs w:val="28"/>
        </w:rPr>
        <w:t xml:space="preserve">}.  Using the above examples,  </w:t>
      </w:r>
      <w:proofErr w:type="spellStart"/>
      <w:r>
        <w:rPr>
          <w:rFonts w:ascii="Helvetica" w:hAnsi="Helvetica" w:cs="Helvetica"/>
          <w:sz w:val="28"/>
          <w:szCs w:val="28"/>
        </w:rPr>
        <w:t>WrapKeyPrefix</w:t>
      </w:r>
      <w:proofErr w:type="spellEnd"/>
      <w:r>
        <w:rPr>
          <w:rFonts w:ascii="Helvetica" w:hAnsi="Helvetica" w:cs="Helvetica"/>
          <w:sz w:val="28"/>
          <w:szCs w:val="28"/>
        </w:rPr>
        <w:t xml:space="preserve"> is /publisher/elsewhere.  </w:t>
      </w:r>
      <w:proofErr w:type="spellStart"/>
      <w:r>
        <w:rPr>
          <w:rFonts w:ascii="Helvetica" w:hAnsi="Helvetica" w:cs="Helvetica"/>
          <w:sz w:val="28"/>
          <w:szCs w:val="28"/>
        </w:rPr>
        <w:t>WrappedKey</w:t>
      </w:r>
      <w:proofErr w:type="spellEnd"/>
      <w:r>
        <w:rPr>
          <w:rFonts w:ascii="Helvetica" w:hAnsi="Helvetica" w:cs="Helvetica"/>
          <w:sz w:val="28"/>
          <w:szCs w:val="28"/>
        </w:rPr>
        <w:t xml:space="preserve"> = {</w:t>
      </w:r>
      <w:proofErr w:type="spellStart"/>
      <w:r>
        <w:rPr>
          <w:rFonts w:ascii="Helvetica" w:hAnsi="Helvetica" w:cs="Helvetica"/>
          <w:sz w:val="28"/>
          <w:szCs w:val="28"/>
        </w:rPr>
        <w:t>KeyNum</w:t>
      </w:r>
      <w:proofErr w:type="spellEnd"/>
      <w:r>
        <w:rPr>
          <w:rFonts w:ascii="Helvetica" w:hAnsi="Helvetica" w:cs="Helvetica"/>
          <w:sz w:val="28"/>
          <w:szCs w:val="28"/>
        </w:rPr>
        <w:t xml:space="preserve">, </w:t>
      </w:r>
      <w:proofErr w:type="spellStart"/>
      <w:r>
        <w:rPr>
          <w:rFonts w:ascii="Helvetica" w:hAnsi="Helvetica" w:cs="Helvetica"/>
          <w:sz w:val="28"/>
          <w:szCs w:val="28"/>
        </w:rPr>
        <w:t>kex_msg</w:t>
      </w:r>
      <w:proofErr w:type="spellEnd"/>
      <w:r>
        <w:rPr>
          <w:rFonts w:ascii="Helvetica" w:hAnsi="Helvetica" w:cs="Helvetica"/>
          <w:sz w:val="28"/>
          <w:szCs w:val="28"/>
        </w:rPr>
        <w:t xml:space="preserve">}, where </w:t>
      </w:r>
      <w:proofErr w:type="spellStart"/>
      <w:r>
        <w:rPr>
          <w:rFonts w:ascii="Helvetica" w:hAnsi="Helvetica" w:cs="Helvetica"/>
          <w:sz w:val="28"/>
          <w:szCs w:val="28"/>
        </w:rPr>
        <w:t>kex_msg</w:t>
      </w:r>
      <w:proofErr w:type="spellEnd"/>
      <w:r>
        <w:rPr>
          <w:rFonts w:ascii="Helvetica" w:hAnsi="Helvetica" w:cs="Helvetica"/>
          <w:sz w:val="28"/>
          <w:szCs w:val="28"/>
        </w:rPr>
        <w:t xml:space="preserve"> is part of the output of </w:t>
      </w:r>
      <w:proofErr w:type="spellStart"/>
      <w:r>
        <w:rPr>
          <w:rFonts w:ascii="Helvetica" w:hAnsi="Helvetica" w:cs="Helvetica"/>
          <w:sz w:val="28"/>
          <w:szCs w:val="28"/>
        </w:rPr>
        <w:t>EccKeyWrap</w:t>
      </w:r>
      <w:proofErr w:type="spellEnd"/>
      <w:r>
        <w:rPr>
          <w:rFonts w:ascii="Helvetica" w:hAnsi="Helvetica" w:cs="Helvetica"/>
          <w:sz w:val="28"/>
          <w:szCs w:val="28"/>
        </w:rPr>
        <w:t xml:space="preserve">(), and is the pair {curve, EPK} signed under WSK.  The rest of the manifest then looks like a </w:t>
      </w:r>
      <w:proofErr w:type="spellStart"/>
      <w:r>
        <w:rPr>
          <w:rFonts w:ascii="Helvetica" w:hAnsi="Helvetica" w:cs="Helvetica"/>
          <w:sz w:val="28"/>
          <w:szCs w:val="28"/>
        </w:rPr>
        <w:t>PresharedKey</w:t>
      </w:r>
      <w:proofErr w:type="spellEnd"/>
      <w:r>
        <w:rPr>
          <w:rFonts w:ascii="Helvetica" w:hAnsi="Helvetica" w:cs="Helvetica"/>
          <w:sz w:val="28"/>
          <w:szCs w:val="28"/>
        </w:rPr>
        <w:t xml:space="preserve"> encryption.  Note that </w:t>
      </w:r>
      <w:proofErr w:type="spellStart"/>
      <w:r>
        <w:rPr>
          <w:rFonts w:ascii="Helvetica" w:hAnsi="Helvetica" w:cs="Helvetica"/>
          <w:sz w:val="28"/>
          <w:szCs w:val="28"/>
        </w:rPr>
        <w:t>WrappedKey</w:t>
      </w:r>
      <w:proofErr w:type="spellEnd"/>
      <w:r>
        <w:rPr>
          <w:rFonts w:ascii="Helvetica" w:hAnsi="Helvetica" w:cs="Helvetica"/>
          <w:sz w:val="28"/>
          <w:szCs w:val="28"/>
        </w:rPr>
        <w:t xml:space="preserve"> is not actually encrypted, it is an ECDHE offer to anyone with WSK.</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In summary:</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w:t>
      </w:r>
      <w:proofErr w:type="spellStart"/>
      <w:r>
        <w:rPr>
          <w:rFonts w:ascii="Helvetica" w:hAnsi="Helvetica" w:cs="Helvetica"/>
          <w:sz w:val="28"/>
          <w:szCs w:val="28"/>
        </w:rPr>
        <w:t>key_manager</w:t>
      </w:r>
      <w:proofErr w:type="spellEnd"/>
      <w:r>
        <w:rPr>
          <w:rFonts w:ascii="Helvetica" w:hAnsi="Helvetica" w:cs="Helvetica"/>
          <w:sz w:val="28"/>
          <w:szCs w:val="28"/>
        </w:rPr>
        <w:t>/somewhere/&lt;</w:t>
      </w:r>
      <w:proofErr w:type="spellStart"/>
      <w:r>
        <w:rPr>
          <w:rFonts w:ascii="Helvetica" w:hAnsi="Helvetica" w:cs="Helvetica"/>
          <w:sz w:val="28"/>
          <w:szCs w:val="28"/>
        </w:rPr>
        <w:t>group_name</w:t>
      </w:r>
      <w:proofErr w:type="spellEnd"/>
      <w:r>
        <w:rPr>
          <w:rFonts w:ascii="Helvetica" w:hAnsi="Helvetica" w:cs="Helvetica"/>
          <w:sz w:val="28"/>
          <w:szCs w:val="28"/>
        </w:rPr>
        <w:t>&gt;/&lt;version&gt; =&gt; Link to /</w:t>
      </w:r>
      <w:proofErr w:type="spellStart"/>
      <w:r>
        <w:rPr>
          <w:rFonts w:ascii="Helvetica" w:hAnsi="Helvetica" w:cs="Helvetica"/>
          <w:sz w:val="28"/>
          <w:szCs w:val="28"/>
        </w:rPr>
        <w:t>key_manager</w:t>
      </w:r>
      <w:proofErr w:type="spellEnd"/>
      <w:r>
        <w:rPr>
          <w:rFonts w:ascii="Helvetica" w:hAnsi="Helvetica" w:cs="Helvetica"/>
          <w:sz w:val="28"/>
          <w:szCs w:val="28"/>
        </w:rPr>
        <w:t>/somewhere/&lt;ID(GPK)&gt; namespace</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w:t>
      </w:r>
      <w:proofErr w:type="spellStart"/>
      <w:r>
        <w:rPr>
          <w:rFonts w:ascii="Helvetica" w:hAnsi="Helvetica" w:cs="Helvetica"/>
          <w:sz w:val="28"/>
          <w:szCs w:val="28"/>
        </w:rPr>
        <w:t>key_manager</w:t>
      </w:r>
      <w:proofErr w:type="spellEnd"/>
      <w:r>
        <w:rPr>
          <w:rFonts w:ascii="Helvetica" w:hAnsi="Helvetica" w:cs="Helvetica"/>
          <w:sz w:val="28"/>
          <w:szCs w:val="28"/>
        </w:rPr>
        <w:t xml:space="preserve">/somewhere/&lt;ID(GPK)&gt;/&lt;ID(UPK)&gt; =&gt; Content Object with </w:t>
      </w:r>
      <w:proofErr w:type="spellStart"/>
      <w:r>
        <w:rPr>
          <w:rFonts w:ascii="Helvetica" w:hAnsi="Helvetica" w:cs="Helvetica"/>
          <w:sz w:val="28"/>
          <w:szCs w:val="28"/>
        </w:rPr>
        <w:t>RsaKeyWrap</w:t>
      </w:r>
      <w:proofErr w:type="spellEnd"/>
      <w:r>
        <w:rPr>
          <w:rFonts w:ascii="Helvetica" w:hAnsi="Helvetica" w:cs="Helvetica"/>
          <w:sz w:val="28"/>
          <w:szCs w:val="28"/>
        </w:rPr>
        <w:t>(UPK, GSK) signed by KM</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 xml:space="preserve">/publisher/elsewhere/&lt;ID(WPK)&gt; =&gt; Content Object with </w:t>
      </w:r>
      <w:proofErr w:type="spellStart"/>
      <w:r>
        <w:rPr>
          <w:rFonts w:ascii="Helvetica" w:hAnsi="Helvetica" w:cs="Helvetica"/>
          <w:sz w:val="28"/>
          <w:szCs w:val="28"/>
        </w:rPr>
        <w:t>RsaKeyWrap</w:t>
      </w:r>
      <w:proofErr w:type="spellEnd"/>
      <w:r>
        <w:rPr>
          <w:rFonts w:ascii="Helvetica" w:hAnsi="Helvetica" w:cs="Helvetica"/>
          <w:sz w:val="28"/>
          <w:szCs w:val="28"/>
        </w:rPr>
        <w:t>(GPK, WSK) signed by Publisher</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w:t>
      </w:r>
      <w:proofErr w:type="spellStart"/>
      <w:r>
        <w:rPr>
          <w:rFonts w:ascii="Helvetica" w:hAnsi="Helvetica" w:cs="Helvetica"/>
          <w:sz w:val="28"/>
          <w:szCs w:val="28"/>
        </w:rPr>
        <w:t>master_secret</w:t>
      </w:r>
      <w:proofErr w:type="spellEnd"/>
      <w:r>
        <w:rPr>
          <w:rFonts w:ascii="Helvetica" w:hAnsi="Helvetica" w:cs="Helvetica"/>
          <w:sz w:val="28"/>
          <w:szCs w:val="28"/>
        </w:rPr>
        <w:t xml:space="preserve">, </w:t>
      </w:r>
      <w:proofErr w:type="spellStart"/>
      <w:r>
        <w:rPr>
          <w:rFonts w:ascii="Helvetica" w:hAnsi="Helvetica" w:cs="Helvetica"/>
          <w:sz w:val="28"/>
          <w:szCs w:val="28"/>
        </w:rPr>
        <w:t>wrapped_key</w:t>
      </w:r>
      <w:proofErr w:type="spellEnd"/>
      <w:r>
        <w:rPr>
          <w:rFonts w:ascii="Helvetica" w:hAnsi="Helvetica" w:cs="Helvetica"/>
          <w:sz w:val="28"/>
          <w:szCs w:val="28"/>
        </w:rPr>
        <w:t xml:space="preserve">) = </w:t>
      </w:r>
      <w:proofErr w:type="spellStart"/>
      <w:r>
        <w:rPr>
          <w:rFonts w:ascii="Helvetica" w:hAnsi="Helvetica" w:cs="Helvetica"/>
          <w:sz w:val="28"/>
          <w:szCs w:val="28"/>
        </w:rPr>
        <w:t>EccKeyWrap</w:t>
      </w:r>
      <w:proofErr w:type="spellEnd"/>
      <w:r>
        <w:rPr>
          <w:rFonts w:ascii="Helvetica" w:hAnsi="Helvetica" w:cs="Helvetica"/>
          <w:sz w:val="28"/>
          <w:szCs w:val="28"/>
        </w:rPr>
        <w:t>(WSK, WPK)</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roofErr w:type="spellStart"/>
      <w:r>
        <w:rPr>
          <w:rFonts w:ascii="Helvetica" w:hAnsi="Helvetica" w:cs="Helvetica"/>
          <w:sz w:val="28"/>
          <w:szCs w:val="28"/>
        </w:rPr>
        <w:t>key_num</w:t>
      </w:r>
      <w:proofErr w:type="spellEnd"/>
      <w:r>
        <w:rPr>
          <w:rFonts w:ascii="Helvetica" w:hAnsi="Helvetica" w:cs="Helvetica"/>
          <w:sz w:val="28"/>
          <w:szCs w:val="28"/>
        </w:rPr>
        <w:t xml:space="preserve"> = sequence number associated with WSK, or large enough random number</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dk = KDF(</w:t>
      </w:r>
      <w:proofErr w:type="spellStart"/>
      <w:r>
        <w:rPr>
          <w:rFonts w:ascii="Helvetica" w:hAnsi="Helvetica" w:cs="Helvetica"/>
          <w:sz w:val="28"/>
          <w:szCs w:val="28"/>
        </w:rPr>
        <w:t>master_secret</w:t>
      </w:r>
      <w:proofErr w:type="spellEnd"/>
      <w:r>
        <w:rPr>
          <w:rFonts w:ascii="Helvetica" w:hAnsi="Helvetica" w:cs="Helvetica"/>
          <w:sz w:val="28"/>
          <w:szCs w:val="28"/>
        </w:rPr>
        <w:t>, ‘</w:t>
      </w:r>
      <w:proofErr w:type="spellStart"/>
      <w:r>
        <w:rPr>
          <w:rFonts w:ascii="Helvetica" w:hAnsi="Helvetica" w:cs="Helvetica"/>
          <w:sz w:val="28"/>
          <w:szCs w:val="28"/>
        </w:rPr>
        <w:t>keynum</w:t>
      </w:r>
      <w:proofErr w:type="spellEnd"/>
      <w:r>
        <w:rPr>
          <w:rFonts w:ascii="Helvetica" w:hAnsi="Helvetica" w:cs="Helvetica"/>
          <w:sz w:val="28"/>
          <w:szCs w:val="28"/>
        </w:rPr>
        <w:t xml:space="preserve">’ || </w:t>
      </w:r>
      <w:proofErr w:type="spellStart"/>
      <w:r>
        <w:rPr>
          <w:rFonts w:ascii="Helvetica" w:hAnsi="Helvetica" w:cs="Helvetica"/>
          <w:sz w:val="28"/>
          <w:szCs w:val="28"/>
        </w:rPr>
        <w:t>net_byte_order</w:t>
      </w:r>
      <w:proofErr w:type="spellEnd"/>
      <w:r>
        <w:rPr>
          <w:rFonts w:ascii="Helvetica" w:hAnsi="Helvetica" w:cs="Helvetica"/>
          <w:sz w:val="28"/>
          <w:szCs w:val="28"/>
        </w:rPr>
        <w:t>(</w:t>
      </w:r>
      <w:proofErr w:type="spellStart"/>
      <w:r>
        <w:rPr>
          <w:rFonts w:ascii="Helvetica" w:hAnsi="Helvetica" w:cs="Helvetica"/>
          <w:sz w:val="28"/>
          <w:szCs w:val="28"/>
        </w:rPr>
        <w:t>key_num</w:t>
      </w:r>
      <w:proofErr w:type="spellEnd"/>
      <w:r>
        <w:rPr>
          <w:rFonts w:ascii="Helvetica" w:hAnsi="Helvetica" w:cs="Helvetica"/>
          <w:sz w:val="28"/>
          <w:szCs w:val="28"/>
        </w:rPr>
        <w:t>))</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roofErr w:type="spellStart"/>
      <w:r>
        <w:rPr>
          <w:rFonts w:ascii="Helvetica" w:hAnsi="Helvetica" w:cs="Helvetica"/>
          <w:sz w:val="28"/>
          <w:szCs w:val="28"/>
        </w:rPr>
        <w:t>PresharedKeyCtx</w:t>
      </w:r>
      <w:proofErr w:type="spellEnd"/>
      <w:r>
        <w:rPr>
          <w:rFonts w:ascii="Helvetica" w:hAnsi="Helvetica" w:cs="Helvetica"/>
          <w:sz w:val="28"/>
          <w:szCs w:val="28"/>
        </w:rPr>
        <w:t xml:space="preserve"> = {</w:t>
      </w:r>
      <w:proofErr w:type="spellStart"/>
      <w:r>
        <w:rPr>
          <w:rFonts w:ascii="Helvetica" w:hAnsi="Helvetica" w:cs="Helvetica"/>
          <w:sz w:val="28"/>
          <w:szCs w:val="28"/>
        </w:rPr>
        <w:t>key_num</w:t>
      </w:r>
      <w:proofErr w:type="spellEnd"/>
      <w:r>
        <w:rPr>
          <w:rFonts w:ascii="Helvetica" w:hAnsi="Helvetica" w:cs="Helvetica"/>
          <w:sz w:val="28"/>
          <w:szCs w:val="28"/>
        </w:rPr>
        <w:t>, IV, mode}, IV = AES VI [see NIST], mode = aes-gcm-128, aes-gcm-256</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lastRenderedPageBreak/>
        <w:t xml:space="preserve">Root Manifest : {ID(WPK), </w:t>
      </w:r>
      <w:proofErr w:type="spellStart"/>
      <w:r>
        <w:rPr>
          <w:rFonts w:ascii="Helvetica" w:hAnsi="Helvetica" w:cs="Helvetica"/>
          <w:sz w:val="28"/>
          <w:szCs w:val="28"/>
        </w:rPr>
        <w:t>WrapKeyPrefix</w:t>
      </w:r>
      <w:proofErr w:type="spellEnd"/>
      <w:r>
        <w:rPr>
          <w:rFonts w:ascii="Helvetica" w:hAnsi="Helvetica" w:cs="Helvetica"/>
          <w:sz w:val="28"/>
          <w:szCs w:val="28"/>
        </w:rPr>
        <w:t xml:space="preserve">, </w:t>
      </w:r>
      <w:proofErr w:type="spellStart"/>
      <w:r>
        <w:rPr>
          <w:rFonts w:ascii="Helvetica" w:hAnsi="Helvetica" w:cs="Helvetica"/>
          <w:sz w:val="28"/>
          <w:szCs w:val="28"/>
        </w:rPr>
        <w:t>wrapped_key</w:t>
      </w:r>
      <w:proofErr w:type="spellEnd"/>
      <w:r>
        <w:rPr>
          <w:rFonts w:ascii="Helvetica" w:hAnsi="Helvetica" w:cs="Helvetica"/>
          <w:sz w:val="28"/>
          <w:szCs w:val="28"/>
        </w:rPr>
        <w:t xml:space="preserve">, </w:t>
      </w:r>
      <w:proofErr w:type="spellStart"/>
      <w:r>
        <w:rPr>
          <w:rFonts w:ascii="Helvetica" w:hAnsi="Helvetica" w:cs="Helvetica"/>
          <w:sz w:val="28"/>
          <w:szCs w:val="28"/>
        </w:rPr>
        <w:t>PresharedKeyCtx</w:t>
      </w:r>
      <w:proofErr w:type="spellEnd"/>
      <w:r>
        <w:rPr>
          <w:rFonts w:ascii="Helvetica" w:hAnsi="Helvetica" w:cs="Helvetica"/>
          <w:sz w:val="28"/>
          <w:szCs w:val="28"/>
        </w:rPr>
        <w:t>} signed by Publisher</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Other Manifest: {</w:t>
      </w:r>
      <w:proofErr w:type="spellStart"/>
      <w:r>
        <w:rPr>
          <w:rFonts w:ascii="Helvetica" w:hAnsi="Helvetica" w:cs="Helvetica"/>
          <w:sz w:val="28"/>
          <w:szCs w:val="28"/>
        </w:rPr>
        <w:t>PresharedKeyCtx</w:t>
      </w:r>
      <w:proofErr w:type="spellEnd"/>
      <w:r>
        <w:rPr>
          <w:rFonts w:ascii="Helvetica" w:hAnsi="Helvetica" w:cs="Helvetica"/>
          <w:sz w:val="28"/>
          <w:szCs w:val="28"/>
        </w:rPr>
        <w:t>}</w:t>
      </w: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w:t>
      </w:r>
      <w:proofErr w:type="spellStart"/>
      <w:r>
        <w:rPr>
          <w:rFonts w:ascii="Helvetica" w:hAnsi="Helvetica" w:cs="Helvetica"/>
          <w:sz w:val="28"/>
          <w:szCs w:val="28"/>
        </w:rPr>
        <w:t>Ateniese</w:t>
      </w:r>
      <w:proofErr w:type="spellEnd"/>
      <w:r>
        <w:rPr>
          <w:rFonts w:ascii="Helvetica" w:hAnsi="Helvetica" w:cs="Helvetica"/>
          <w:sz w:val="28"/>
          <w:szCs w:val="28"/>
        </w:rPr>
        <w:t xml:space="preserve">] G. </w:t>
      </w:r>
      <w:proofErr w:type="spellStart"/>
      <w:r>
        <w:rPr>
          <w:rFonts w:ascii="Helvetica" w:hAnsi="Helvetica" w:cs="Helvetica"/>
          <w:sz w:val="28"/>
          <w:szCs w:val="28"/>
        </w:rPr>
        <w:t>Ateniese</w:t>
      </w:r>
      <w:proofErr w:type="spellEnd"/>
      <w:r>
        <w:rPr>
          <w:rFonts w:ascii="Helvetica" w:hAnsi="Helvetica" w:cs="Helvetica"/>
          <w:sz w:val="28"/>
          <w:szCs w:val="28"/>
        </w:rPr>
        <w:t xml:space="preserve">, K. Fu, M. Green, and S. </w:t>
      </w:r>
      <w:proofErr w:type="spellStart"/>
      <w:r>
        <w:rPr>
          <w:rFonts w:ascii="Helvetica" w:hAnsi="Helvetica" w:cs="Helvetica"/>
          <w:sz w:val="28"/>
          <w:szCs w:val="28"/>
        </w:rPr>
        <w:t>Hohenberger</w:t>
      </w:r>
      <w:proofErr w:type="spellEnd"/>
      <w:r>
        <w:rPr>
          <w:rFonts w:ascii="Helvetica" w:hAnsi="Helvetica" w:cs="Helvetica"/>
          <w:sz w:val="28"/>
          <w:szCs w:val="28"/>
        </w:rPr>
        <w:t>, “Improved proxy re-encryption schemes with applications to secure distributed storage,” ACM Transactions on Information and System Security (TISSEC), vol. 9, no. 1, pp. 1–30, 2006.</w:t>
      </w:r>
    </w:p>
    <w:p w:rsidR="0045779D" w:rsidRDefault="0045779D"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5779D" w:rsidRPr="0045779D" w:rsidRDefault="0045779D" w:rsidP="004577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heme="minorHAnsi" w:hAnsi="Helvetica" w:cs="Helvetica"/>
          <w:sz w:val="28"/>
          <w:szCs w:val="28"/>
        </w:rPr>
      </w:pPr>
      <w:r>
        <w:rPr>
          <w:rFonts w:ascii="Helvetica" w:hAnsi="Helvetica" w:cs="Helvetica"/>
          <w:sz w:val="28"/>
          <w:szCs w:val="28"/>
        </w:rPr>
        <w:t>[</w:t>
      </w:r>
      <w:proofErr w:type="spellStart"/>
      <w:r w:rsidRPr="0045779D">
        <w:rPr>
          <w:rFonts w:ascii="Helvetica" w:eastAsiaTheme="minorHAnsi" w:hAnsi="Helvetica" w:cs="Helvetica"/>
          <w:sz w:val="28"/>
          <w:szCs w:val="28"/>
        </w:rPr>
        <w:t>Hohenberger</w:t>
      </w:r>
      <w:proofErr w:type="spellEnd"/>
      <w:r>
        <w:rPr>
          <w:rFonts w:ascii="Helvetica" w:hAnsi="Helvetica" w:cs="Helvetica"/>
          <w:sz w:val="28"/>
          <w:szCs w:val="28"/>
        </w:rPr>
        <w:t xml:space="preserve">] </w:t>
      </w:r>
      <w:proofErr w:type="spellStart"/>
      <w:r w:rsidRPr="0045779D">
        <w:rPr>
          <w:rFonts w:ascii="Helvetica" w:eastAsiaTheme="minorHAnsi" w:hAnsi="Helvetica" w:cs="Helvetica"/>
          <w:sz w:val="28"/>
          <w:szCs w:val="28"/>
        </w:rPr>
        <w:t>Hohenberger</w:t>
      </w:r>
      <w:proofErr w:type="spellEnd"/>
      <w:r w:rsidRPr="0045779D">
        <w:rPr>
          <w:rFonts w:ascii="Helvetica" w:eastAsiaTheme="minorHAnsi" w:hAnsi="Helvetica" w:cs="Helvetica"/>
          <w:sz w:val="28"/>
          <w:szCs w:val="28"/>
        </w:rPr>
        <w:t xml:space="preserve">, Susan R., Kevin Fu, Giuseppe </w:t>
      </w:r>
      <w:proofErr w:type="spellStart"/>
      <w:r w:rsidRPr="0045779D">
        <w:rPr>
          <w:rFonts w:ascii="Helvetica" w:eastAsiaTheme="minorHAnsi" w:hAnsi="Helvetica" w:cs="Helvetica"/>
          <w:sz w:val="28"/>
          <w:szCs w:val="28"/>
        </w:rPr>
        <w:t>Ateniese</w:t>
      </w:r>
      <w:proofErr w:type="spellEnd"/>
      <w:r w:rsidRPr="0045779D">
        <w:rPr>
          <w:rFonts w:ascii="Helvetica" w:eastAsiaTheme="minorHAnsi" w:hAnsi="Helvetica" w:cs="Helvetica"/>
          <w:sz w:val="28"/>
          <w:szCs w:val="28"/>
        </w:rPr>
        <w:t xml:space="preserve">, and Matthew Green. "Unidirectional proxy re-encryption." </w:t>
      </w:r>
      <w:proofErr w:type="gramStart"/>
      <w:r w:rsidRPr="0045779D">
        <w:rPr>
          <w:rFonts w:ascii="Helvetica" w:eastAsiaTheme="minorHAnsi" w:hAnsi="Helvetica" w:cs="Helvetica"/>
          <w:sz w:val="28"/>
          <w:szCs w:val="28"/>
        </w:rPr>
        <w:t>U.S. Patent 8,094,810,</w:t>
      </w:r>
      <w:proofErr w:type="gramEnd"/>
      <w:r w:rsidRPr="0045779D">
        <w:rPr>
          <w:rFonts w:ascii="Helvetica" w:eastAsiaTheme="minorHAnsi" w:hAnsi="Helvetica" w:cs="Helvetica"/>
          <w:sz w:val="28"/>
          <w:szCs w:val="28"/>
        </w:rPr>
        <w:t xml:space="preserve"> issued January 10, 2012.</w:t>
      </w:r>
    </w:p>
    <w:p w:rsidR="0045779D" w:rsidRDefault="0045779D"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rsidR="004F6437" w:rsidRDefault="004F6437" w:rsidP="004F64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r>
        <w:rPr>
          <w:rFonts w:ascii="Helvetica" w:hAnsi="Helvetica" w:cs="Helvetica"/>
          <w:sz w:val="28"/>
          <w:szCs w:val="28"/>
        </w:rPr>
        <w:t xml:space="preserve">[Wang] Wang, </w:t>
      </w:r>
      <w:proofErr w:type="spellStart"/>
      <w:r>
        <w:rPr>
          <w:rFonts w:ascii="Helvetica" w:hAnsi="Helvetica" w:cs="Helvetica"/>
          <w:sz w:val="28"/>
          <w:szCs w:val="28"/>
        </w:rPr>
        <w:t>Qiang</w:t>
      </w:r>
      <w:proofErr w:type="spellEnd"/>
      <w:r>
        <w:rPr>
          <w:rFonts w:ascii="Helvetica" w:hAnsi="Helvetica" w:cs="Helvetica"/>
          <w:sz w:val="28"/>
          <w:szCs w:val="28"/>
        </w:rPr>
        <w:t xml:space="preserve">, </w:t>
      </w:r>
      <w:proofErr w:type="spellStart"/>
      <w:r>
        <w:rPr>
          <w:rFonts w:ascii="Helvetica" w:hAnsi="Helvetica" w:cs="Helvetica"/>
          <w:sz w:val="28"/>
          <w:szCs w:val="28"/>
        </w:rPr>
        <w:t>Wenchao</w:t>
      </w:r>
      <w:proofErr w:type="spellEnd"/>
      <w:r>
        <w:rPr>
          <w:rFonts w:ascii="Helvetica" w:hAnsi="Helvetica" w:cs="Helvetica"/>
          <w:sz w:val="28"/>
          <w:szCs w:val="28"/>
        </w:rPr>
        <w:t xml:space="preserve"> Li, and </w:t>
      </w:r>
      <w:proofErr w:type="spellStart"/>
      <w:r>
        <w:rPr>
          <w:rFonts w:ascii="Helvetica" w:hAnsi="Helvetica" w:cs="Helvetica"/>
          <w:sz w:val="28"/>
          <w:szCs w:val="28"/>
        </w:rPr>
        <w:t>Zhiguang</w:t>
      </w:r>
      <w:proofErr w:type="spellEnd"/>
      <w:r>
        <w:rPr>
          <w:rFonts w:ascii="Helvetica" w:hAnsi="Helvetica" w:cs="Helvetica"/>
          <w:sz w:val="28"/>
          <w:szCs w:val="28"/>
        </w:rPr>
        <w:t xml:space="preserve"> Qin. "Proxy Re-Encryption in Access Control Framework of Information-Centric Networks." IEEE Access 7 (2019): 48417-48429.</w:t>
      </w:r>
    </w:p>
    <w:p w:rsidR="003559F4" w:rsidRDefault="0045779D"/>
    <w:sectPr w:rsidR="003559F4" w:rsidSect="006F06F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37"/>
    <w:rsid w:val="00176E24"/>
    <w:rsid w:val="002E6AEE"/>
    <w:rsid w:val="0045779D"/>
    <w:rsid w:val="004F6437"/>
    <w:rsid w:val="00605FDD"/>
    <w:rsid w:val="008D7096"/>
    <w:rsid w:val="00BA0615"/>
    <w:rsid w:val="00CC382B"/>
    <w:rsid w:val="00CF5835"/>
    <w:rsid w:val="00F40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F1A61"/>
  <w14:defaultImageDpi w14:val="32767"/>
  <w15:chartTrackingRefBased/>
  <w15:docId w15:val="{FD77C1AE-DBAB-BC45-9707-4A58C8EF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779D"/>
    <w:rPr>
      <w:rFonts w:ascii="Times New Roman" w:eastAsia="Times New Roman" w:hAnsi="Times New Roman" w:cs="Times New Roman"/>
    </w:rPr>
  </w:style>
  <w:style w:type="paragraph" w:styleId="Heading1">
    <w:name w:val="heading 1"/>
    <w:basedOn w:val="Normal"/>
    <w:next w:val="Normal"/>
    <w:link w:val="Heading1Char"/>
    <w:uiPriority w:val="9"/>
    <w:qFormat/>
    <w:rsid w:val="004F64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43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64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43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A0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Mosko, Marc &lt;mmosko@parc.com&gt;</dc:creator>
  <cp:keywords/>
  <dc:description/>
  <cp:lastModifiedBy>Mosko, Marc &lt;mmosko@parc.com&gt;</cp:lastModifiedBy>
  <cp:revision>1</cp:revision>
  <dcterms:created xsi:type="dcterms:W3CDTF">2019-07-25T17:51:00Z</dcterms:created>
  <dcterms:modified xsi:type="dcterms:W3CDTF">2019-07-25T22:27:00Z</dcterms:modified>
</cp:coreProperties>
</file>