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Matthieu Eric Moundou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 xml:space="preserve">CMSC 204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Pr. Thai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Montgomery College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February 2020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Generic Lab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What did you learn?</w:t>
      </w:r>
      <w:r>
        <w:rPr>
          <w:rFonts w:ascii="Times New Roman" w:hAnsi="Times New Roman" w:hint="default"/>
          <w:rtl w:val="0"/>
        </w:rPr>
        <w:t>  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 learned how to manipulate generics somehow. I still need to practice, but I liked that this lab, despite being simple, made me think. It forced me to challenge the information I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rtl w:val="0"/>
          <w:lang w:val="en-US"/>
        </w:rPr>
        <w:t>d gathered from the book and to be able to explain it in my own words to solve the tasks.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What issues did you encounter, if any?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I struggled with knowing how to properly adjust the class to account for the generic type: at a point I forgot to replace 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rtl w:val="0"/>
          <w:lang w:val="en-US"/>
        </w:rPr>
        <w:t>Measurable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 xml:space="preserve">” </w:t>
      </w:r>
      <w:r>
        <w:rPr>
          <w:rFonts w:ascii="Times New Roman" w:hAnsi="Times New Roman"/>
          <w:i w:val="1"/>
          <w:iCs w:val="1"/>
          <w:rtl w:val="0"/>
          <w:lang w:val="en-US"/>
        </w:rPr>
        <w:t>return type in getMaximum by T and was left scratching my head nervously for a minute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What would you have done differently?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Nothing that I can think of. I think the more I practice and complete these assignments the more likely I will be to have an answer to this question.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How can you apply this concept in the future?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 think this concept is going to help me later down the road when dealing with ADT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rtl w:val="0"/>
          <w:lang w:val="en-US"/>
        </w:rPr>
        <w:t>s like Stacks and Queues for example.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Anything else</w:t>
      </w:r>
      <w:r>
        <w:rPr>
          <w:rFonts w:ascii="Times New Roman" w:hAnsi="Times New Roman" w:hint="default"/>
          <w:b w:val="1"/>
          <w:bCs w:val="1"/>
          <w:rtl w:val="0"/>
        </w:rPr>
        <w:t> </w:t>
      </w:r>
      <w:r>
        <w:rPr>
          <w:rFonts w:ascii="Times New Roman" w:hAnsi="Times New Roman"/>
          <w:b w:val="1"/>
          <w:bCs w:val="1"/>
          <w:rtl w:val="0"/>
          <w:lang w:val="en-US"/>
        </w:rPr>
        <w:t>that you would like to share?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More like a note to self: reading the material and being able to follow is not enough, I need to commit to practicing as well, because that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rtl w:val="0"/>
          <w:lang w:val="en-US"/>
        </w:rPr>
        <w:t>s the only way I will highlight the holes in my understanding and patch them</w:t>
      </w:r>
    </w:p>
    <w:p>
      <w:pPr>
        <w:pStyle w:val="Body"/>
        <w:spacing w:line="480" w:lineRule="auto"/>
        <w:jc w:val="center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