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l9</w:t>
      </w:r>
    </w:p>
    <w:p>
      <w:r>
        <w:rPr>
          <w:b/>
        </w:rPr>
        <w:t>Q1. Within how many days must bad deliveries be reported to the clearing house?</w:t>
      </w:r>
    </w:p>
    <w:p>
      <w:pPr>
        <w:spacing w:after="120"/>
      </w:pPr>
      <w:r>
        <w:t>A1. Two days.</w:t>
      </w:r>
    </w:p>
    <w:p>
      <w:r>
        <w:rPr>
          <w:b/>
        </w:rPr>
        <w:t>Q2. How long does the delivering member have to rectify bad deliveries?</w:t>
      </w:r>
    </w:p>
    <w:p>
      <w:pPr>
        <w:spacing w:after="120"/>
      </w:pPr>
      <w:r>
        <w:t>A2. Two days.</w:t>
      </w:r>
    </w:p>
    <w:p>
      <w:r>
        <w:rPr>
          <w:b/>
        </w:rPr>
        <w:t>Q3. What happens to unrectified bad deliveries?</w:t>
      </w:r>
    </w:p>
    <w:p>
      <w:pPr>
        <w:spacing w:after="120"/>
      </w:pPr>
      <w:r>
        <w:t>A3. They are assigned to auction on the next day.</w:t>
      </w:r>
    </w:p>
    <w:p>
      <w:r>
        <w:rPr>
          <w:b/>
        </w:rPr>
        <w:t>Q4. How long does a Clearing Member (CM) have to withdraw a company objection if it's invalid or documents are incomplete?</w:t>
      </w:r>
    </w:p>
    <w:p>
      <w:pPr>
        <w:spacing w:after="120"/>
      </w:pPr>
      <w:r>
        <w:t>A4. 7 days.</w:t>
      </w:r>
    </w:p>
    <w:p>
      <w:r>
        <w:rPr>
          <w:b/>
        </w:rPr>
        <w:t>Q5. If a CM can't rectify defective documents within 21 days, what happens?</w:t>
      </w:r>
    </w:p>
    <w:p>
      <w:pPr>
        <w:spacing w:after="120"/>
      </w:pPr>
      <w:r>
        <w:t>A5. NSCCL conducts a buying-in auction.</w:t>
      </w:r>
    </w:p>
    <w:p>
      <w:r>
        <w:rPr>
          <w:b/>
        </w:rPr>
        <w:t>Q6. What happens to company objections not bought-in?</w:t>
      </w:r>
    </w:p>
    <w:p>
      <w:pPr>
        <w:spacing w:after="120"/>
      </w:pPr>
      <w:r>
        <w:t>A6. They are deemed closed out on the auction day at the closing price plus 20%.</w:t>
      </w:r>
    </w:p>
    <w:p>
      <w:r>
        <w:rPr>
          <w:b/>
        </w:rPr>
        <w:t>Q7. In the Limited Physical Market, what constitutes a bad delivery?</w:t>
      </w:r>
    </w:p>
    <w:p>
      <w:pPr>
        <w:spacing w:after="120"/>
      </w:pPr>
      <w:r>
        <w:t>A7. Shares in street name, market delivery, shares not in the name of individuals/HUF, shares with a last transfer date on or after the security's introduction to the LP market, deliveries exceeding 500 shares.</w:t>
      </w:r>
    </w:p>
    <w:p>
      <w:r>
        <w:rPr>
          <w:b/>
        </w:rPr>
        <w:t>Q8. What is the penalty for shortages in the Limited Physical Market?</w:t>
      </w:r>
    </w:p>
    <w:p>
      <w:pPr>
        <w:spacing w:after="120"/>
      </w:pPr>
      <w:r>
        <w:t>A8. Compulsorily closed out at 20% over the actual traded price.</w:t>
      </w:r>
    </w:p>
    <w:p>
      <w:r>
        <w:rPr>
          <w:b/>
        </w:rPr>
        <w:t>Q9. What is the penalty for non-rectification/replacement of bad deliveries in the Limited Physical Market?</w:t>
      </w:r>
    </w:p>
    <w:p>
      <w:pPr>
        <w:spacing w:after="120"/>
      </w:pPr>
      <w:r>
        <w:t>A9. Closed out at 10% over the actual trade price.</w:t>
      </w:r>
    </w:p>
    <w:p>
      <w:r>
        <w:rPr>
          <w:b/>
        </w:rPr>
        <w:t>Q10. Within how many months must the buyer send securities for transfer and dematerialization in the Limited Physical Market?</w:t>
      </w:r>
    </w:p>
    <w:p>
      <w:pPr>
        <w:spacing w:after="120"/>
      </w:pPr>
      <w:r>
        <w:t>A10. 3 months.</w:t>
      </w:r>
    </w:p>
    <w:p>
      <w:r>
        <w:rPr>
          <w:b/>
        </w:rPr>
        <w:t>Q11. How many clearing banks has NSCCL empaneled?</w:t>
      </w:r>
    </w:p>
    <w:p>
      <w:pPr>
        <w:spacing w:after="120"/>
      </w:pPr>
      <w:r>
        <w:t>A11. 13.</w:t>
      </w:r>
    </w:p>
    <w:p>
      <w:r>
        <w:rPr>
          <w:b/>
        </w:rPr>
        <w:t>Q12. What is the purpose of clearing accounts?</w:t>
      </w:r>
    </w:p>
    <w:p>
      <w:pPr>
        <w:spacing w:after="120"/>
      </w:pPr>
      <w:r>
        <w:t>A12. Exclusively for clearing and settlement operations.</w:t>
      </w:r>
    </w:p>
    <w:p>
      <w:r>
        <w:rPr>
          <w:b/>
        </w:rPr>
        <w:t>Q13. How are members informed of their funds obligations?</w:t>
      </w:r>
    </w:p>
    <w:p>
      <w:pPr>
        <w:spacing w:after="120"/>
      </w:pPr>
      <w:r>
        <w:t>A13. Through Obligations reports, daily funds statements, and bank summary statements.</w:t>
      </w:r>
    </w:p>
    <w:p>
      <w:r>
        <w:rPr>
          <w:b/>
        </w:rPr>
        <w:t>Q14. When are members with a funds pay-in obligation required to have clear funds in their primary clearing account?</w:t>
      </w:r>
    </w:p>
    <w:p>
      <w:pPr>
        <w:spacing w:after="120"/>
      </w:pPr>
      <w:r>
        <w:t>A14. On or before 10:30 a.m. on the settlement day.</w:t>
      </w:r>
    </w:p>
    <w:p>
      <w:r>
        <w:rPr>
          <w:b/>
        </w:rPr>
        <w:t>Q15. When is the payout of funds credited to members' primary clearing accounts?</w:t>
      </w:r>
    </w:p>
    <w:p>
      <w:pPr>
        <w:spacing w:after="120"/>
      </w:pPr>
      <w:r>
        <w:t>A15. On or after 1:30 p.m. on the settlement day.</w:t>
      </w:r>
    </w:p>
    <w:p>
      <w:r>
        <w:rPr>
          <w:b/>
        </w:rPr>
        <w:t>Q16. What happens if a member fails to fulfill their funds obligations?</w:t>
      </w:r>
    </w:p>
    <w:p>
      <w:pPr>
        <w:spacing w:after="120"/>
      </w:pPr>
      <w:r>
        <w:t>A16. Trading and clearing facilities are withdrawn; securities payout is withheld.</w:t>
      </w:r>
    </w:p>
    <w:p>
      <w:r>
        <w:rPr>
          <w:b/>
        </w:rPr>
        <w:t>Q17. What is the net cumulative fund shortage threshold triggering sanctions?</w:t>
      </w:r>
    </w:p>
    <w:p>
      <w:pPr>
        <w:spacing w:after="120"/>
      </w:pPr>
      <w:r>
        <w:t>A17. Rs. 5 lakhs at the end of pay-in, or Rs. 2 lakhs for six or more occasions in the last three months.</w:t>
      </w:r>
    </w:p>
    <w:p>
      <w:r>
        <w:rPr>
          <w:b/>
        </w:rPr>
        <w:t>Q18. What is a valuation debit?</w:t>
      </w:r>
    </w:p>
    <w:p>
      <w:pPr>
        <w:spacing w:after="120"/>
      </w:pPr>
      <w:r>
        <w:t>A18. An amount debited equivalent to securities not delivered, valued at a valuation price.</w:t>
      </w:r>
    </w:p>
    <w:p>
      <w:r>
        <w:rPr>
          <w:b/>
        </w:rPr>
        <w:t>Q19. How are valuation prices for securities not delivered calculated?</w:t>
      </w:r>
    </w:p>
    <w:p>
      <w:pPr>
        <w:spacing w:after="120"/>
      </w:pPr>
      <w:r>
        <w:t>A19. The closing price on the immediate trading day preceding the pay-in day.</w:t>
      </w:r>
    </w:p>
    <w:p>
      <w:r>
        <w:rPr>
          <w:b/>
        </w:rPr>
        <w:t>Q20. How are valuation prices for bad deliveries calculated?</w:t>
      </w:r>
    </w:p>
    <w:p>
      <w:pPr>
        <w:spacing w:after="120"/>
      </w:pPr>
      <w:r>
        <w:t>A20. The closing price of such securities on the trading day preceding the settlement day, unless otherwise prescribed.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