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l9</w:t>
      </w:r>
    </w:p>
    <w:p>
      <w:pPr>
        <w:spacing w:after="120"/>
      </w:pPr>
      <w:r>
        <w:t>* **Limited Physical Market (LPM) Settlement:**  Two-day reporting period for bad deliveries; unrectified bad deliveries auctioned on the next day; company objections resolved within 21 days or bought-in at a 20% premium.  Shares must be in individual/HUF names; selling member must be the introducing member; deliveries exceeding 500 shares are short-closed.</w:t>
        <w:br/>
        <w:br/>
        <w:t>* **LPM Bad Delivery Penalties:** Shortages closed out at 20% above the traded price; non-rectified objections closed out at 20% above the closing price. Buyer must dematerialize shares within 3 months of payout.</w:t>
        <w:br/>
        <w:br/>
        <w:t>* **LPM Company Objections:** Handled similarly to the regular market, but securities must be lodged for transfer within 3 months of payout for validity.</w:t>
        <w:br/>
        <w:br/>
        <w:t>* **Funds Settlement:**  NSCCL utilizes 13 clearing banks; members maintain clearing accounts; daily and summary statements provided; funds must be available by 10:30 AM on settlement day; payout after 1:30 PM.</w:t>
        <w:br/>
        <w:br/>
        <w:t>* **Funds Shortages:** Trading suspended for cumulative shortages exceeding Rs. 5 lakhs or six instances of Rs. 2 lakhs in three months; collateral required; penalties apply.</w:t>
        <w:br/>
        <w:br/>
        <w:t>* **Securities Shortages:** Valuation debits for non-delivered securities; buying-in auction at T+2; CM responsible for price differences.</w:t>
        <w:br/>
        <w:br/>
        <w:t>* **Valuation Prices:** Based on the closing price of the previous trading day, unless otherwise specified.</w:t>
        <w:br/>
        <w:br/>
        <w:t>* **Quarterly Security Review (Criteria):**  Securities transferred to/from Trade for Trade segment based on P/E ratio, price variation, volatility, volume variation, client concentration, and number of non-promoter shareholders. Multiple criteria combinations exist (A, B, C, D).</w:t>
        <w:br/>
        <w:br/>
        <w:t>* **Fortnightly Security Review (Criteria):** Similar to quarterly review but focusing primarily on Price Earnings Multiple (P/E) ratio and upper limits determined by Nifty P/E.</w:t>
        <w:br/>
        <w:br/>
        <w:t>* **SEBI Guidelines (Trade for Trade Segment):**  Companies must meet 50% non-promoter dematerialized holding by a specific date; exceptions for IPOs and certain corporate actions.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