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start="0" w:end="0"/>
        <w:jc w:val="center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038850" cy="5824220"/>
            <wp:effectExtent l="0" t="0" r="0" b="0"/>
            <wp:docPr id="1" name="image1.png" descr="OpenAI_Photography_2026_0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penAI_Photography_2026_04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174" r="0" b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start="0" w:end="0"/>
        <w:jc w:val="center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Title"/>
        <w:keepNext w:val="true"/>
        <w:spacing w:lineRule="auto" w:line="276" w:before="0" w:after="100"/>
        <w:rPr/>
      </w:pPr>
      <w:r>
        <w:rPr>
          <w:position w:val="0"/>
          <w:sz w:val="80"/>
          <w:vertAlign w:val="baseline"/>
        </w:rPr>
        <w:t>HOLD THE FLOW</w:t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4305"/>
        <w:gridCol w:w="901"/>
        <w:gridCol w:w="4154"/>
      </w:tblGrid>
      <w:tr>
        <w:trPr>
          <w:cantSplit w:val="true"/>
        </w:trPr>
        <w:tc>
          <w:tcPr>
            <w:tcW w:w="4305" w:type="dxa"/>
            <w:tcBorders/>
          </w:tcPr>
          <w:p>
            <w:pPr>
              <w:pStyle w:val="normal1"/>
              <w:spacing w:lineRule="auto" w:line="240" w:before="0" w:after="0"/>
              <w:rPr>
                <w:color w:val="666666"/>
              </w:rPr>
            </w:pPr>
            <w:r>
              <w:rPr>
                <w:color w:val="666666"/>
              </w:rPr>
              <w:t>이동형 양팔 로봇 물 따르기 프로젝트의 발표 구조와 시각 원칙</w:t>
            </w:r>
          </w:p>
        </w:tc>
        <w:tc>
          <w:tcPr>
            <w:tcW w:w="901" w:type="dxa"/>
            <w:tcBorders/>
          </w:tcPr>
          <w:p>
            <w:pPr>
              <w:pStyle w:val="normal1"/>
              <w:spacing w:lineRule="auto" w:line="240" w:before="0" w:after="0"/>
              <w:rPr>
                <w:color w:val="666666"/>
              </w:rPr>
            </w:pPr>
            <w:r>
              <w:rPr>
                <w:color w:val="666666"/>
              </w:rPr>
            </w:r>
          </w:p>
        </w:tc>
        <w:tc>
          <w:tcPr>
            <w:tcW w:w="4154" w:type="dxa"/>
            <w:tcBorders/>
          </w:tcPr>
          <w:p>
            <w:pPr>
              <w:pStyle w:val="normal1"/>
              <w:spacing w:lineRule="auto" w:line="240" w:before="0" w:after="0"/>
              <w:rPr>
                <w:color w:val="666666"/>
              </w:rPr>
            </w:pPr>
            <w:r>
              <w:rPr>
                <w:color w:val="666666"/>
              </w:rPr>
              <w:t>HANDOVER</w:t>
              <w:br/>
              <w:t>2026.08.28</w:t>
            </w:r>
          </w:p>
        </w:tc>
      </w:tr>
    </w:tbl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4096"/>
        </w:sectPr>
      </w:pPr>
      <w:r>
        <w:br w:type="page"/>
      </w:r>
    </w:p>
    <w:p>
      <w:pPr>
        <w:pStyle w:val="normal1"/>
        <w:keepNext w:val="true"/>
        <w:keepLines w:val="false"/>
        <w:pageBreakBefore w:val="false"/>
        <w:widowControl/>
        <w:pBdr/>
        <w:shd w:val="clear" w:fill="auto"/>
        <w:spacing w:lineRule="auto" w:line="276" w:before="360" w:after="360"/>
        <w:ind w:hanging="0" w:start="0" w:end="0"/>
        <w:jc w:val="start"/>
        <w:rPr>
          <w:rFonts w:ascii="Helvetica Neue" w:hAnsi="Helvetica Neue" w:eastAsia="Helvetica Neue" w:cs="Helvetica Neu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 w:val="48"/>
          <w:szCs w:val="48"/>
          <w:u w:val="none"/>
          <w:shd w:fill="auto" w:val="clear"/>
          <w:vertAlign w:val="baseline"/>
        </w:rPr>
        <w:t>차례</w:t>
      </w:r>
    </w:p>
    <w:p>
      <w:pPr>
        <w:pStyle w:val="normal1"/>
        <w:keepNext w:val="true"/>
        <w:keepLines w:val="false"/>
        <w:pageBreakBefore w:val="false"/>
        <w:widowControl/>
        <w:pBdr/>
        <w:shd w:val="clear" w:fill="auto"/>
        <w:spacing w:lineRule="auto" w:line="276" w:before="360" w:after="360"/>
        <w:ind w:hanging="0" w:start="0" w:end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r>
            <w:fldChar w:fldCharType="begin"/>
          </w:r>
          <w:r>
            <w:rPr>
              <w:webHidden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u w:val="none"/>
              <w:shd w:fill="auto" w:val="clear"/>
              <w:sz w:val="22"/>
              <w:i w:val="false"/>
              <w:b w:val="false"/>
              <w:szCs w:val="22"/>
              <w:iCs w:val="false"/>
              <w:bCs w:val="false"/>
              <w:rFonts w:ascii="Helvetica Neue" w:hAnsi="Helvetica Neue" w:cs="Helvetica Neue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u w:val="none"/>
              <w:shd w:fill="auto" w:val="clear"/>
              <w:sz w:val="22"/>
              <w:i w:val="false"/>
              <w:b w:val="false"/>
              <w:szCs w:val="22"/>
              <w:iCs w:val="false"/>
              <w:bCs w:val="false"/>
              <w:rFonts w:ascii="Helvetica Neue" w:hAnsi="Helvetica Neue" w:cs="Helvetica Neue"/>
              <w:color w:val="000000"/>
            </w:rPr>
            <w:fldChar w:fldCharType="separate"/>
          </w: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요약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한눈에 보기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프로젝트 정의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설계 판단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조건과 전제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자료에서 확인한 패턴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발표자료에 반영한 방식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권고안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결론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부록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노트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w:anchor="_heading=">
            <w:r>
              <w:rPr>
                <w:webHidden/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참고 자료</w:t>
            </w:r>
          </w:hyperlink>
          <w:r>
            <w:rPr>
              <w:rFonts w:eastAsia="Helvetica Neue" w:cs="Helvetica Neue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5</w:t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u w:val="none"/>
              <w:shd w:fill="auto" w:val="clear"/>
              <w:sz w:val="22"/>
              <w:i w:val="false"/>
              <w:b w:val="false"/>
              <w:szCs w:val="22"/>
              <w:iCs w:val="false"/>
              <w:bCs w:val="false"/>
              <w:rFonts w:ascii="Helvetica Neue" w:hAnsi="Helvetica Neue" w:cs="Helvetica Neue"/>
              <w:color w:val="000000"/>
            </w:rPr>
            <w:fldChar w:fldCharType="end"/>
          </w:r>
          <w:bookmarkStart w:id="0" w:name="bookmark=id.i23wo83gyh7m"/>
        </w:p>
      </w:sdtContent>
    </w:sdt>
    <w:p>
      <w:pPr>
        <w:pStyle w:val="Heading1"/>
        <w:rPr/>
      </w:pPr>
      <w:r>
        <w:br w:type="page"/>
      </w:r>
      <w:bookmarkEnd w:id="0"/>
      <w:r>
        <w:rPr/>
        <w:t>요약</w:t>
      </w:r>
    </w:p>
    <w:p>
      <w:pPr>
        <w:pStyle w:val="normal1"/>
        <w:rPr/>
      </w:pPr>
      <w:r>
        <w:rPr/>
        <w:t>발표자료는 이동형 양팔 로봇의 물 따르기 한 가지에 집중한다</w:t>
      </w:r>
      <w:r>
        <w:rPr/>
        <w:t xml:space="preserve">. </w:t>
      </w:r>
      <w:r>
        <w:rPr/>
        <w:t>로봇은 작업대까지 이동하고</w:t>
      </w:r>
      <w:r>
        <w:rPr/>
        <w:t xml:space="preserve">, </w:t>
      </w:r>
      <w:r>
        <w:rPr/>
        <w:t>병과 컵을 잡은 뒤 물을 붓고 결과를 확인한다</w:t>
      </w:r>
      <w:r>
        <w:rPr/>
        <w:t>.</w:t>
      </w:r>
    </w:p>
    <w:p>
      <w:pPr>
        <w:pStyle w:val="normal1"/>
        <w:rPr/>
      </w:pPr>
      <w:r>
        <w:rPr/>
        <w:t xml:space="preserve">메인 데모는 </w:t>
      </w:r>
      <w:r>
        <w:rPr/>
        <w:t xml:space="preserve">SLAM, </w:t>
      </w:r>
      <w:r>
        <w:rPr/>
        <w:t>로컬 정렬</w:t>
      </w:r>
      <w:r>
        <w:rPr/>
        <w:t xml:space="preserve">, </w:t>
      </w:r>
      <w:r>
        <w:rPr/>
        <w:t>양팔 조작</w:t>
      </w:r>
      <w:r>
        <w:rPr/>
        <w:t xml:space="preserve">, </w:t>
      </w:r>
      <w:r>
        <w:rPr/>
        <w:t>접촉 센서</w:t>
      </w:r>
      <w:r>
        <w:rPr/>
        <w:t xml:space="preserve">, </w:t>
      </w:r>
      <w:r>
        <w:rPr/>
        <w:t>실패 복구가 한 흐름으로 연결되는 모습을 보여준다</w:t>
      </w:r>
      <w:r>
        <w:rPr/>
        <w:t>. VLA</w:t>
      </w:r>
      <w:r>
        <w:rPr/>
        <w:t>와 음성은 범위에서 제외한다</w:t>
      </w:r>
      <w:r>
        <w:rPr/>
        <w:t>.</w:t>
      </w:r>
      <w:bookmarkStart w:id="1" w:name="bookmark=id.1sqjewf8afxt"/>
    </w:p>
    <w:p>
      <w:pPr>
        <w:pStyle w:val="Heading2"/>
        <w:rPr/>
      </w:pPr>
      <w:bookmarkEnd w:id="1"/>
      <w:r>
        <w:rPr/>
        <w:t>한눈에 보기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프로젝트명은 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HOLD THE FLOW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물의 흐름과 작업 흐름을 동시에 붙잡는다는 뜻이다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두 팔에는 평행 그리퍼를 쓰고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병 쪽에는 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홈 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TPU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패드와 접촉 센서를 더한다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로컬 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LLM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은 모터를 제어하지 않는다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실패 상태를 읽고 허용된 복구 동작만 선택한다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  <w:bookmarkStart w:id="2" w:name="bookmark=id.4t4jj91ycfx"/>
    </w:p>
    <w:p>
      <w:pPr>
        <w:pStyle w:val="Heading2"/>
        <w:rPr/>
      </w:pPr>
      <w:bookmarkEnd w:id="2"/>
      <w:r>
        <w:rPr/>
        <w:t>프로젝트 정의</w:t>
      </w:r>
    </w:p>
    <w:p>
      <w:pPr>
        <w:pStyle w:val="normal1"/>
        <w:rPr/>
      </w:pPr>
      <w:r>
        <w:rPr/>
        <w:t>대형 식당의 사전 세팅을 가정한다</w:t>
      </w:r>
      <w:r>
        <w:rPr/>
        <w:t xml:space="preserve">. </w:t>
      </w:r>
      <w:r>
        <w:rPr/>
        <w:t>로봇이 테이블에 접근해 병과 컵을 찾고</w:t>
      </w:r>
      <w:r>
        <w:rPr/>
        <w:t xml:space="preserve">, </w:t>
      </w:r>
      <w:r>
        <w:rPr/>
        <w:t>두 팔로 각각 파지한 뒤 물을 따른다</w:t>
      </w:r>
      <w:r>
        <w:rPr/>
        <w:t>.</w:t>
      </w:r>
    </w:p>
    <w:p>
      <w:pPr>
        <w:pStyle w:val="normal1"/>
        <w:rPr/>
      </w:pPr>
      <w:r>
        <w:rPr/>
        <w:t>처음부터 완성형 서비스 로봇을 만들지 않는다</w:t>
      </w:r>
      <w:r>
        <w:rPr/>
        <w:t xml:space="preserve">. </w:t>
      </w:r>
      <w:r>
        <w:rPr/>
        <w:t>이동</w:t>
      </w:r>
      <w:r>
        <w:rPr/>
        <w:t xml:space="preserve">, </w:t>
      </w:r>
      <w:r>
        <w:rPr/>
        <w:t>정렬</w:t>
      </w:r>
      <w:r>
        <w:rPr/>
        <w:t xml:space="preserve">, </w:t>
      </w:r>
      <w:r>
        <w:rPr/>
        <w:t>파지</w:t>
      </w:r>
      <w:r>
        <w:rPr/>
        <w:t xml:space="preserve">, </w:t>
      </w:r>
      <w:r>
        <w:rPr/>
        <w:t>붓기</w:t>
      </w:r>
      <w:r>
        <w:rPr/>
        <w:t xml:space="preserve">, </w:t>
      </w:r>
      <w:r>
        <w:rPr/>
        <w:t>검증을 나눠 실물 게이트를 통과한 기능만 통합한다</w:t>
      </w:r>
      <w:r>
        <w:rPr/>
        <w:t>.</w:t>
      </w:r>
      <w:bookmarkStart w:id="3" w:name="bookmark=id.xx7bxdemqiq"/>
      <w:r>
        <w:br w:type="page"/>
      </w:r>
    </w:p>
    <w:p>
      <w:pPr>
        <w:pStyle w:val="Heading1"/>
        <w:rPr/>
      </w:pPr>
      <w:bookmarkEnd w:id="3"/>
      <w:r>
        <w:rPr/>
        <w:t>설계 판단</w:t>
      </w:r>
    </w:p>
    <w:p>
      <w:pPr>
        <w:pStyle w:val="normal1"/>
        <w:rPr/>
      </w:pPr>
      <w:r>
        <w:rPr/>
        <w:t>발표의 초점은 로봇 팔 자체의 최고 성능이 아니라</w:t>
      </w:r>
      <w:r>
        <w:rPr/>
        <w:t xml:space="preserve">, </w:t>
      </w:r>
      <w:r>
        <w:rPr/>
        <w:t>저가형 장비의 한계를 센서와 상태 관리로 보완하는 과정이다</w:t>
      </w:r>
      <w:r>
        <w:rPr/>
        <w:t>.</w:t>
      </w:r>
    </w:p>
    <w:p>
      <w:pPr>
        <w:pStyle w:val="Heading2"/>
        <w:rPr/>
      </w:pPr>
      <w:r>
        <w:rPr/>
        <w:t>조건과 전제</w:t>
      </w:r>
    </w:p>
    <w:p>
      <w:pPr>
        <w:pStyle w:val="normal1"/>
        <w:rPr/>
      </w:pPr>
      <w:r>
        <w:rPr/>
        <w:t>SO-101</w:t>
      </w:r>
      <w:r>
        <w:rPr/>
        <w:t>의 정밀도 한계를 억지로 극복하지 않는다</w:t>
      </w:r>
      <w:r>
        <w:rPr/>
        <w:t xml:space="preserve">. </w:t>
      </w:r>
      <w:r>
        <w:rPr/>
        <w:t xml:space="preserve">접근은 </w:t>
      </w:r>
      <w:r>
        <w:rPr/>
        <w:t xml:space="preserve">Nav2, </w:t>
      </w:r>
      <w:r>
        <w:rPr/>
        <w:t xml:space="preserve">마지막 정렬은 </w:t>
      </w:r>
      <w:r>
        <w:rPr/>
        <w:t>Depth</w:t>
      </w:r>
      <w:r>
        <w:rPr/>
        <w:t>와 태그</w:t>
      </w:r>
      <w:r>
        <w:rPr/>
        <w:t xml:space="preserve">, </w:t>
      </w:r>
      <w:r>
        <w:rPr/>
        <w:t xml:space="preserve">조작은 </w:t>
      </w:r>
      <w:r>
        <w:rPr/>
        <w:t>IK</w:t>
      </w:r>
      <w:r>
        <w:rPr/>
        <w:t xml:space="preserve">와 </w:t>
      </w:r>
      <w:r>
        <w:rPr/>
        <w:t>ACT</w:t>
      </w:r>
      <w:r>
        <w:rPr/>
        <w:t>로 역할을 나눈다</w:t>
      </w:r>
      <w:r>
        <w:rPr/>
        <w:t>.</w:t>
      </w:r>
    </w:p>
    <w:p>
      <w:pPr>
        <w:pStyle w:val="Heading2"/>
        <w:rPr/>
      </w:pPr>
      <w:r>
        <w:rPr/>
        <w:t>자료에서 확인한 패턴</w:t>
      </w:r>
    </w:p>
    <w:p>
      <w:pPr>
        <w:pStyle w:val="normal1"/>
        <w:rPr/>
      </w:pPr>
      <w:r>
        <w:rPr/>
        <w:t>연질 병은 물이 줄면서 무게중심과 파지 상태가 바뀐다</w:t>
      </w:r>
      <w:r>
        <w:rPr/>
        <w:t xml:space="preserve">. </w:t>
      </w:r>
      <w:r>
        <w:rPr/>
        <w:t>접촉 정보와 결과 중량을 함께 기록해야 실패 원인을 나눠 볼 수 있다</w:t>
      </w:r>
      <w:r>
        <w:rPr/>
        <w:t>.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/>
        <w:pageBreakBefore w:val="false"/>
        <w:widowControl/>
        <w:pBdr>
          <w:left w:val="single" w:sz="16" w:space="8" w:color="595959"/>
        </w:pBdr>
        <w:shd w:val="clear" w:fill="F2F2F2"/>
        <w:spacing w:lineRule="auto" w:line="268" w:before="160" w:after="200"/>
        <w:ind w:hanging="0" w:start="259" w:end="259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발표자료는 물 따르기를 하나의 성공 장면이 아니라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이동부터 검증까지 이어지는 반복 가능한 작업으로 설명한다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.</w:t>
      </w:r>
    </w:p>
    <w:p>
      <w:pPr>
        <w:pStyle w:val="Heading2"/>
        <w:rPr/>
      </w:pPr>
      <w:r>
        <w:rPr/>
      </w:r>
      <w:bookmarkStart w:id="4" w:name="bookmark=id.suv0vlq0gz4r"/>
      <w:bookmarkStart w:id="5" w:name="bookmark=id.suv0vlq0gz4r"/>
      <w:bookmarkEnd w:id="5"/>
    </w:p>
    <w:p>
      <w:pPr>
        <w:pStyle w:val="Heading2"/>
        <w:rPr/>
      </w:pPr>
      <w:bookmarkStart w:id="6" w:name="bookmark=id.suv0vlq0gz4r"/>
      <w:bookmarkEnd w:id="6"/>
      <w:r>
        <w:rPr/>
        <w:t>발표자료에 반영한 방식</w:t>
      </w:r>
    </w:p>
    <w:p>
      <w:pPr>
        <w:pStyle w:val="normal1"/>
        <w:rPr/>
      </w:pPr>
      <w:r>
        <w:rPr/>
        <w:t>물의 세로 흐름을 공통 시각 요소로 쓰고</w:t>
      </w:r>
      <w:r>
        <w:rPr/>
        <w:t xml:space="preserve">, </w:t>
      </w:r>
      <w:r>
        <w:rPr/>
        <w:t>각 장에는 한 가지 주장만 둔다</w:t>
      </w:r>
      <w:r>
        <w:rPr/>
        <w:t xml:space="preserve">. </w:t>
      </w:r>
      <w:r>
        <w:rPr/>
        <w:t xml:space="preserve">카드형 </w:t>
      </w:r>
      <w:r>
        <w:rPr/>
        <w:t>UI</w:t>
      </w:r>
      <w:r>
        <w:rPr/>
        <w:t>는 줄이고 사진</w:t>
      </w:r>
      <w:r>
        <w:rPr/>
        <w:t xml:space="preserve">, </w:t>
      </w:r>
      <w:r>
        <w:rPr/>
        <w:t>큰 문장</w:t>
      </w:r>
      <w:r>
        <w:rPr/>
        <w:t xml:space="preserve">, </w:t>
      </w:r>
      <w:r>
        <w:rPr/>
        <w:t>짧은 기술 흐름으로 구성한다</w:t>
      </w:r>
      <w:r>
        <w:rPr/>
        <w:t>.</w:t>
      </w:r>
    </w:p>
    <w:tbl>
      <w:tblPr>
        <w:tblStyle w:val="Table2"/>
        <w:tblW w:w="9120" w:type="dxa"/>
        <w:jc w:val="start"/>
        <w:tblInd w:w="120" w:type="dxa"/>
        <w:tblLayout w:type="fixed"/>
        <w:tblCellMar>
          <w:top w:w="110" w:type="dxa"/>
          <w:start w:w="108" w:type="dxa"/>
          <w:bottom w:w="110" w:type="dxa"/>
          <w:end w:w="108" w:type="dxa"/>
        </w:tblCellMar>
        <w:tblLook w:val="0400"/>
      </w:tblPr>
      <w:tblGrid>
        <w:gridCol w:w="1800"/>
        <w:gridCol w:w="3299"/>
        <w:gridCol w:w="4021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2F2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요소</w:t>
            </w:r>
          </w:p>
        </w:tc>
        <w:tc>
          <w:tcPr>
            <w:tcW w:w="329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2F2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관찰</w:t>
            </w:r>
          </w:p>
        </w:tc>
        <w:tc>
          <w:tcPr>
            <w:tcW w:w="402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2F2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발표에 반영한 판단</w:t>
            </w:r>
          </w:p>
        </w:tc>
      </w:tr>
      <w:tr>
        <w:trPr/>
        <w:tc>
          <w:tcPr>
            <w:tcW w:w="18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파지</w:t>
            </w:r>
          </w:p>
        </w:tc>
        <w:tc>
          <w:tcPr>
            <w:tcW w:w="329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PET </w:t>
            </w: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병은 쉽게 변형된다</w:t>
            </w:r>
          </w:p>
        </w:tc>
        <w:tc>
          <w:tcPr>
            <w:tcW w:w="402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V</w:t>
            </w: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홈 </w:t>
            </w:r>
            <w:r>
              <w:rPr>
                <w:rFonts w:eastAsia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TPU </w:t>
            </w: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패드와 접촉 센서</w:t>
            </w:r>
          </w:p>
        </w:tc>
      </w:tr>
      <w:tr>
        <w:trPr/>
        <w:tc>
          <w:tcPr>
            <w:tcW w:w="18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이동</w:t>
            </w:r>
          </w:p>
        </w:tc>
        <w:tc>
          <w:tcPr>
            <w:tcW w:w="329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최종 정렬은 이동 오차에 민감하다</w:t>
            </w:r>
          </w:p>
        </w:tc>
        <w:tc>
          <w:tcPr>
            <w:tcW w:w="402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Nav2 </w:t>
            </w: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뒤 </w:t>
            </w:r>
            <w:r>
              <w:rPr>
                <w:rFonts w:eastAsia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Depth</w:t>
            </w: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와 태그로 인계</w:t>
            </w:r>
          </w:p>
        </w:tc>
      </w:tr>
      <w:tr>
        <w:trPr/>
        <w:tc>
          <w:tcPr>
            <w:tcW w:w="18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검증</w:t>
            </w:r>
          </w:p>
        </w:tc>
        <w:tc>
          <w:tcPr>
            <w:tcW w:w="329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눈으로만 보면 유입량 판단이 어렵다</w:t>
            </w:r>
          </w:p>
        </w:tc>
        <w:tc>
          <w:tcPr>
            <w:tcW w:w="402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0"/>
              <w:ind w:hanging="0" w:start="0" w:end="0"/>
              <w:jc w:val="start"/>
              <w:rPr>
                <w:rFonts w:ascii="Helvetica Neue" w:hAnsi="Helvetica Neue" w:eastAsia="Helvetica Neue" w:cs="Helvetica Neu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id="7" w:name="bookmark=id.vvr4bduzzdc0"/>
            <w:bookmarkEnd w:id="7"/>
            <w:r>
              <w:rPr>
                <w:rFonts w:ascii="Helvetica Neue" w:hAnsi="Helvetica Neue" w:cs="Helvetica Neu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중량 로그를 평가 기준으로 사용</w:t>
            </w:r>
          </w:p>
        </w:tc>
      </w:tr>
    </w:tbl>
    <w:p>
      <w:pPr>
        <w:pStyle w:val="Heading1"/>
        <w:rPr/>
      </w:pPr>
      <w:r>
        <w:br w:type="page"/>
      </w:r>
      <w:r>
        <w:rPr/>
        <w:t>권고안</w:t>
      </w:r>
    </w:p>
    <w:p>
      <w:pPr>
        <w:pStyle w:val="normal1"/>
        <w:rPr/>
      </w:pPr>
      <w:r>
        <w:rPr/>
        <w:t>9</w:t>
      </w:r>
      <w:r>
        <w:rPr/>
        <w:t>월 중순까지 하중</w:t>
      </w:r>
      <w:r>
        <w:rPr/>
        <w:t xml:space="preserve">, </w:t>
      </w:r>
      <w:r>
        <w:rPr/>
        <w:t>파지</w:t>
      </w:r>
      <w:r>
        <w:rPr/>
        <w:t xml:space="preserve">, </w:t>
      </w:r>
      <w:r>
        <w:rPr/>
        <w:t>붓기 실험을 먼저 끝내고 통과한 조건만 본 구현에 올린다</w:t>
      </w:r>
      <w:r>
        <w:rPr/>
        <w:t>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18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실물 한계를 먼저 확인한다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병을 잡은 채 기울일 수 있는지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컵을 안정적으로 유지할 수 있는지 측정한다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18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정상 동작을 스킬로 나눈다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접근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정렬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파지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붓기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검증을 따로 통과시킨 뒤 연결한다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180"/>
        <w:ind w:hanging="270" w:start="540" w:end="0"/>
        <w:jc w:val="start"/>
        <w:rPr/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실패를 기록한다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미끄럼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병 찌그러짐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물 넘침을 상태로 남기고 재파지와 중단 조건을 정한다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  <w:bookmarkStart w:id="8" w:name="bookmark=id.rl3o3rp5qmnq"/>
    </w:p>
    <w:p>
      <w:pPr>
        <w:pStyle w:val="Heading2"/>
        <w:rPr/>
      </w:pPr>
      <w:bookmarkEnd w:id="8"/>
      <w:r>
        <w:rPr/>
        <w:t>결론</w:t>
      </w:r>
    </w:p>
    <w:p>
      <w:pPr>
        <w:pStyle w:val="normal1"/>
        <w:rPr/>
      </w:pPr>
      <w:r>
        <w:rPr/>
        <w:t xml:space="preserve">메인 프로젝트는 </w:t>
      </w:r>
      <w:r>
        <w:rPr/>
        <w:t>HOLD THE FLOW</w:t>
      </w:r>
      <w:r>
        <w:rPr/>
        <w:t>로 고정한다</w:t>
      </w:r>
      <w:r>
        <w:rPr/>
        <w:t xml:space="preserve">. </w:t>
      </w:r>
      <w:r>
        <w:rPr/>
        <w:t xml:space="preserve">이 구성은 사용자의 </w:t>
      </w:r>
      <w:r>
        <w:rPr/>
        <w:t xml:space="preserve">SLAM </w:t>
      </w:r>
      <w:r>
        <w:rPr/>
        <w:t>담당 역할과 양팔 조작</w:t>
      </w:r>
      <w:r>
        <w:rPr/>
        <w:t xml:space="preserve">, </w:t>
      </w:r>
      <w:r>
        <w:rPr/>
        <w:t>센서</w:t>
      </w:r>
      <w:r>
        <w:rPr/>
        <w:t xml:space="preserve">, </w:t>
      </w:r>
      <w:r>
        <w:rPr/>
        <w:t xml:space="preserve">로컬 </w:t>
      </w:r>
      <w:r>
        <w:rPr/>
        <w:t>LLM</w:t>
      </w:r>
      <w:r>
        <w:rPr/>
        <w:t>을 한 데모 안에서 보여준다</w:t>
      </w:r>
      <w:r>
        <w:rPr/>
        <w:t>.</w:t>
      </w:r>
    </w:p>
    <w:p>
      <w:pPr>
        <w:pStyle w:val="normal1"/>
        <w:rPr/>
      </w:pPr>
      <w:r>
        <w:rPr/>
        <w:t>성공 기준은 화려한 한 번이 아니라</w:t>
      </w:r>
      <w:r>
        <w:rPr/>
        <w:t xml:space="preserve">, </w:t>
      </w:r>
      <w:r>
        <w:rPr/>
        <w:t>같은 조건에서 반복했을 때 접근과 붓기 결과가 로그로 설명되는지다</w:t>
      </w:r>
      <w:r>
        <w:rPr/>
        <w:t>.</w:t>
      </w:r>
      <w:bookmarkStart w:id="9" w:name="bookmark=id.cf45595vup8a"/>
      <w:r>
        <w:br w:type="page"/>
      </w:r>
    </w:p>
    <w:p>
      <w:pPr>
        <w:pStyle w:val="Heading1"/>
        <w:rPr/>
      </w:pPr>
      <w:bookmarkEnd w:id="9"/>
      <w:r>
        <w:rPr/>
        <w:t>부록</w:t>
      </w:r>
      <w:bookmarkStart w:id="10" w:name="bookmark=id.ptrg31dozyqs"/>
    </w:p>
    <w:p>
      <w:pPr>
        <w:pStyle w:val="Heading2"/>
        <w:rPr/>
      </w:pPr>
      <w:bookmarkEnd w:id="10"/>
      <w:r>
        <w:rPr/>
        <w:t>노트</w:t>
      </w:r>
    </w:p>
    <w:p>
      <w:pPr>
        <w:pStyle w:val="normal1"/>
        <w:rPr/>
      </w:pPr>
      <w:r>
        <w:rPr/>
        <w:t xml:space="preserve">수치는 아직 </w:t>
      </w:r>
      <w:r>
        <w:rPr/>
        <w:t xml:space="preserve">POC </w:t>
      </w:r>
      <w:r>
        <w:rPr/>
        <w:t>전이므로 결과처럼 쓰지 않는다</w:t>
      </w:r>
      <w:r>
        <w:rPr/>
        <w:t xml:space="preserve">. </w:t>
      </w:r>
      <w:r>
        <w:rPr/>
        <w:t>성공률과 오차 기준은 실물 게이트에서 확정한다</w:t>
      </w:r>
      <w:r>
        <w:rPr/>
        <w:t>.</w:t>
      </w:r>
    </w:p>
    <w:p>
      <w:pPr>
        <w:pStyle w:val="normal1"/>
        <w:rPr/>
      </w:pPr>
      <w:r>
        <w:rPr/>
        <w:t>공개 발표에서는 생성 이미지를 콘셉트로 표시하고</w:t>
      </w:r>
      <w:r>
        <w:rPr/>
        <w:t xml:space="preserve">, </w:t>
      </w:r>
      <w:r>
        <w:rPr/>
        <w:t>실제 장비 사진과 실측 결과가 생기면 교체한다</w:t>
      </w:r>
      <w:r>
        <w:rPr/>
        <w:t>.</w:t>
      </w:r>
      <w:bookmarkStart w:id="11" w:name="bookmark=id.nnk1eebni0ji"/>
    </w:p>
    <w:p>
      <w:pPr>
        <w:pStyle w:val="Heading2"/>
        <w:rPr/>
      </w:pPr>
      <w:bookmarkEnd w:id="11"/>
      <w:r>
        <w:rPr/>
        <w:t>참고 자료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Zhao et al. Learning Fine-Grained Bimanual Manipulation with Low-Cost Hardware. 2023.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Sanchez et al. Pouring by Feel: An Analysis of Tactile and Proprioceptive Sensing for Accurate Pouring. 2023.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ROS 2 Navigation2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문서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 Navigation2 with SLAM.</w:t>
      </w:r>
    </w:p>
    <w:p>
      <w:pPr>
        <w:pStyle w:val="normal1"/>
        <w:keepNext w:val="fals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100"/>
        <w:ind w:hanging="270" w:start="540" w:end="0"/>
        <w:jc w:val="start"/>
        <w:rPr/>
      </w:pP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HANDOVER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팀 회의 기록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 2026.08.28.</w:t>
      </w:r>
    </w:p>
    <w:p>
      <w:pPr>
        <w:pStyle w:val="normal1"/>
        <w:keepNext w:val="false"/>
        <w:keepLines/>
        <w:pageBreakBefore w:val="false"/>
        <w:widowControl/>
        <w:pBdr/>
        <w:shd w:val="clear" w:fill="auto"/>
        <w:spacing w:lineRule="auto" w:line="276" w:before="0" w:after="10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/>
        <w:pageBreakBefore w:val="false"/>
        <w:widowControl/>
        <w:pBdr>
          <w:left w:val="single" w:sz="16" w:space="8" w:color="595959"/>
        </w:pBdr>
        <w:shd w:val="clear" w:fill="F2F2F2"/>
        <w:spacing w:lineRule="auto" w:line="268" w:before="160" w:after="200"/>
        <w:ind w:hanging="0" w:start="259" w:end="259"/>
        <w:jc w:val="start"/>
        <w:rPr>
          <w:rFonts w:ascii="Helvetica Neue" w:hAnsi="Helvetica Neue" w:eastAsia="Helvetica Neue" w:cs="Helvetica Neu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 xml:space="preserve">발표 전 실제 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 xml:space="preserve">POC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결과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사진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 xml:space="preserve">, </w:t>
      </w:r>
      <w:r>
        <w:rPr>
          <w:rFonts w:ascii="Helvetica Neue" w:hAnsi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성공 기준을 다시 확인한다</w:t>
      </w:r>
      <w:r>
        <w:rPr>
          <w:rFonts w:eastAsia="Helvetica Neue" w:cs="Helvetica Neu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.</w:t>
      </w:r>
    </w:p>
    <w:sectPr>
      <w:headerReference w:type="default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Helvetica Neue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ptos">
    <w:charset w:val="01" w:characterSet="utf-8"/>
    <w:family w:val="roman"/>
    <w:pitch w:val="variable"/>
  </w:font>
  <w:font w:name="Helvetica Neue">
    <w:charset w:val="01"/>
    <w:family w:val="auto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OpenSymbol">
    <w:altName w:val="Arial Unicode MS"/>
    <w:charset w:val="02"/>
    <w:family w:val="auto"/>
    <w:pitch w:val="default"/>
    <w:embedRegular r:id="rId17" w:fontKey="{11014A78-CABC-4EF0-12AC-5CD89AEFDE11}"/>
    <w:embedBold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12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12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76" w:before="0" w:after="0"/>
      <w:ind w:hanging="0" w:start="0" w:end="0"/>
      <w:jc w:val="end"/>
      <w:rPr>
        <w:rFonts w:ascii="Helvetica Neue" w:hAnsi="Helvetica Neue" w:eastAsia="Helvetica Neue" w:cs="Helvetica Neu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7A7A7A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76" w:before="0" w:after="80"/>
      <w:ind w:hanging="0" w:start="0" w:end="0"/>
      <w:jc w:val="start"/>
      <w:rPr>
        <w:color w:val="7A7A7A"/>
        <w:sz w:val="17"/>
        <w:szCs w:val="17"/>
      </w:rPr>
    </w:pPr>
    <w:r>
      <w:rPr>
        <w:color w:val="7A7A7A"/>
        <w:sz w:val="17"/>
        <w:szCs w:val="17"/>
      </w:rPr>
    </w:r>
  </w:p>
  <w:tbl>
    <w:tblPr>
      <w:tblStyle w:val="Table3"/>
      <w:tblW w:w="936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600"/>
    </w:tblPr>
    <w:tblGrid>
      <w:gridCol w:w="4680"/>
      <w:gridCol w:w="4679"/>
    </w:tblGrid>
    <w:tr>
      <w:trPr>
        <w:trHeight w:val="325" w:hRule="atLeast"/>
        <w:cantSplit w:val="true"/>
      </w:trPr>
      <w:tc>
        <w:tcPr>
          <w:tcW w:w="4680" w:type="dxa"/>
          <w:tcBorders/>
          <w:shd w:fill="auto" w:val="clear"/>
        </w:tcPr>
        <w:sdt>
          <w:sdtPr>
            <w:id w:val="2109222018"/>
            <w:tag w:val="goog_rdk_0"/>
            <w:lock w:val="contentLocked"/>
          </w:sdtPr>
          <w:sdtContent>
            <w:p>
              <w:pPr>
                <w:pStyle w:val="normal1"/>
                <w:pBdr/>
                <w:shd w:val="clear" w:fill="auto"/>
                <w:spacing w:lineRule="auto" w:line="276" w:before="0" w:after="80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HOLD THE FLOW</w:t>
              </w:r>
            </w:p>
          </w:sdtContent>
        </w:sdt>
      </w:tc>
      <w:tc>
        <w:tcPr>
          <w:tcW w:w="4679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start="0" w:end="0"/>
            <w:jc w:val="end"/>
            <w:rPr>
              <w:color w:val="7A7A7A"/>
              <w:sz w:val="17"/>
              <w:szCs w:val="17"/>
            </w:rPr>
          </w:pPr>
          <w:r>
            <w:rPr>
              <w:color w:val="7A7A7A"/>
              <w:sz w:val="17"/>
              <w:szCs w:val="17"/>
            </w:rPr>
            <w:t>2026.08.28</w:t>
          </w:r>
        </w:p>
      </w:tc>
    </w:tr>
  </w:tbl>
  <w:p>
    <w:pPr>
      <w:pStyle w:val="normal1"/>
      <w:spacing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70"/>
      </w:pPr>
      <w:rPr>
        <w:rFonts w:ascii="Helvetica Neue" w:hAnsi="Helvetica Neue" w:cs="Helvetica Neue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270"/>
      </w:pPr>
      <w:rPr>
        <w:rFonts w:ascii="Helvetica Neue" w:hAnsi="Helvetica Neue" w:eastAsia="Helvetica Neue" w:cs="Helvetica Neu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 Neue" w:hAnsi="Helvetica Neue" w:eastAsia="Helvetica Neue" w:cs="Helvetica Neu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20"/>
      <w:jc w:val="start"/>
    </w:pPr>
    <w:rPr>
      <w:rFonts w:ascii="Helvetica Neue" w:hAnsi="Helvetica Neue" w:eastAsia="Helvetica Neue" w:cs="Helvetica Neue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200"/>
    </w:pPr>
    <w:rPr>
      <w:rFonts w:ascii="Helvetica Neue" w:hAnsi="Helvetica Neue" w:eastAsia="Helvetica Neue" w:cs="Helvetica Neue"/>
      <w:b w:val="false"/>
      <w:bCs w:val="false"/>
      <w:color w:val="000000"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80" w:after="120"/>
    </w:pPr>
    <w:rPr>
      <w:rFonts w:ascii="Helvetica Neue" w:hAnsi="Helvetica Neue" w:eastAsia="Helvetica Neue" w:cs="Helvetica Neue"/>
      <w:b w:val="false"/>
      <w:bCs w:val="false"/>
      <w:color w:val="000000"/>
      <w:sz w:val="30"/>
      <w:szCs w:val="30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80"/>
    </w:pPr>
    <w:rPr>
      <w:rFonts w:ascii="Helvetica Neue" w:hAnsi="Helvetica Neue" w:eastAsia="Helvetica Neue" w:cs="Helvetica Neue"/>
      <w:b/>
      <w:bCs/>
      <w:color w:val="00000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120"/>
      <w:jc w:val="start"/>
    </w:pPr>
    <w:rPr>
      <w:rFonts w:ascii="Helvetica Neue" w:hAnsi="Helvetica Neue" w:eastAsia="Helvetica Neue" w:cs="Helvetica Neue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76" w:before="0" w:after="100"/>
    </w:pPr>
    <w:rPr>
      <w:b/>
      <w:bCs/>
      <w:sz w:val="80"/>
      <w:szCs w:val="80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1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592</Words>
  <Characters>3397</Characters>
  <CharactersWithSpaces>3910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2026-08-28T15:06:21Z</dcterms:modified>
  <cp:revision>1</cp:revision>
  <dc:subject/>
  <dc:title/>
</cp:coreProperties>
</file>