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附件一：设备与技术服务量价表（示例——合并表头结构测试件）</w:t>
      </w:r>
    </w:p>
    <w:p>
      <w:r>
        <w:t>说明：本表为两行嵌套表头（横向合并 + 纵向跨行合并）结构示例；表体 18 行，渲染后自然跨页；单价上限合计不超过示例预算。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Merge w:val="restart"/>
          </w:tcPr>
          <w:p>
            <w:r>
              <w:t>序号</w:t>
            </w:r>
          </w:p>
        </w:tc>
        <w:tc>
          <w:tcPr>
            <w:tcW w:type="dxa" w:w="2880"/>
            <w:gridSpan w:val="3"/>
          </w:tcPr>
          <w:p>
            <w:r>
              <w:t>设备信息</w:t>
            </w:r>
          </w:p>
        </w:tc>
        <w:tc>
          <w:tcPr>
            <w:tcW w:type="dxa" w:w="2880"/>
            <w:gridSpan w:val="3"/>
          </w:tcPr>
          <w:p>
            <w:r>
              <w:t>商务信息</w:t>
            </w:r>
          </w:p>
        </w:tc>
        <w:tc>
          <w:tcPr>
            <w:tcW w:type="dxa" w:w="960"/>
            <w:vMerge w:val="restart"/>
          </w:tcPr>
          <w:p>
            <w:r>
              <w:t>类别</w:t>
            </w:r>
          </w:p>
        </w:tc>
        <w:tc>
          <w:tcPr>
            <w:tcW w:type="dxa" w:w="960"/>
            <w:vMerge w:val="restart"/>
          </w:tcPr>
          <w:p>
            <w:r>
              <w:t>备注</w:t>
            </w:r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名称</w:t>
            </w:r>
          </w:p>
        </w:tc>
        <w:tc>
          <w:tcPr>
            <w:tcW w:type="dxa" w:w="960"/>
          </w:tcPr>
          <w:p>
            <w:r>
              <w:t>型号规格</w:t>
            </w:r>
          </w:p>
        </w:tc>
        <w:tc>
          <w:tcPr>
            <w:tcW w:type="dxa" w:w="960"/>
          </w:tcPr>
          <w:p>
            <w:r>
              <w:t>单位</w:t>
            </w:r>
          </w:p>
        </w:tc>
        <w:tc>
          <w:tcPr>
            <w:tcW w:type="dxa" w:w="960"/>
          </w:tcPr>
          <w:p>
            <w:r>
              <w:t>数量</w:t>
            </w:r>
          </w:p>
        </w:tc>
        <w:tc>
          <w:tcPr>
            <w:tcW w:type="dxa" w:w="960"/>
          </w:tcPr>
          <w:p>
            <w:r>
              <w:t>单价上限（元）</w:t>
            </w:r>
          </w:p>
        </w:tc>
        <w:tc>
          <w:tcPr>
            <w:tcW w:type="dxa" w:w="960"/>
          </w:tcPr>
          <w:p>
            <w:r>
              <w:t>质保期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核心交换机</w:t>
            </w:r>
          </w:p>
        </w:tc>
        <w:tc>
          <w:tcPr>
            <w:tcW w:type="dxa" w:w="960"/>
          </w:tcPr>
          <w:p>
            <w:r>
              <w:t>示例型号 CE-9500-48C（示例）</w:t>
            </w:r>
          </w:p>
        </w:tc>
        <w:tc>
          <w:tcPr>
            <w:tcW w:type="dxa" w:w="960"/>
          </w:tcPr>
          <w:p>
            <w:r>
              <w:t>台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185,000</w:t>
            </w:r>
          </w:p>
        </w:tc>
        <w:tc>
          <w:tcPr>
            <w:tcW w:type="dxa" w:w="960"/>
          </w:tcPr>
          <w:p>
            <w:r>
              <w:t>3 年</w:t>
            </w:r>
          </w:p>
        </w:tc>
        <w:tc>
          <w:tcPr>
            <w:tcW w:type="dxa" w:w="960"/>
            <w:vMerge w:val="restart"/>
          </w:tcPr>
          <w:p>
            <w:r>
              <w:t>网络设备</w:t>
            </w:r>
          </w:p>
        </w:tc>
        <w:tc>
          <w:tcPr>
            <w:tcW w:type="dxa" w:w="960"/>
          </w:tcPr>
          <w:p>
            <w:r>
              <w:t>含模块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接入交换机</w:t>
            </w:r>
          </w:p>
        </w:tc>
        <w:tc>
          <w:tcPr>
            <w:tcW w:type="dxa" w:w="960"/>
          </w:tcPr>
          <w:p>
            <w:r>
              <w:t>示例型号 CE-6800-48T（示例）</w:t>
            </w:r>
          </w:p>
        </w:tc>
        <w:tc>
          <w:tcPr>
            <w:tcW w:type="dxa" w:w="960"/>
          </w:tcPr>
          <w:p>
            <w:r>
              <w:t>台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23,500</w:t>
            </w:r>
          </w:p>
        </w:tc>
        <w:tc>
          <w:tcPr>
            <w:tcW w:type="dxa" w:w="960"/>
          </w:tcPr>
          <w:p>
            <w:r>
              <w:t>3 年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无线控制器</w:t>
            </w:r>
          </w:p>
        </w:tc>
        <w:tc>
          <w:tcPr>
            <w:tcW w:type="dxa" w:w="960"/>
          </w:tcPr>
          <w:p>
            <w:r>
              <w:t>示例型号 WLC-3504（示例）</w:t>
            </w:r>
          </w:p>
        </w:tc>
        <w:tc>
          <w:tcPr>
            <w:tcW w:type="dxa" w:w="960"/>
          </w:tcPr>
          <w:p>
            <w:r>
              <w:t>台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78,000</w:t>
            </w:r>
          </w:p>
        </w:tc>
        <w:tc>
          <w:tcPr>
            <w:tcW w:type="dxa" w:w="960"/>
          </w:tcPr>
          <w:p>
            <w:r>
              <w:t>3 年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下一代防火墙</w:t>
            </w:r>
          </w:p>
        </w:tc>
        <w:tc>
          <w:tcPr>
            <w:tcW w:type="dxa" w:w="960"/>
          </w:tcPr>
          <w:p>
            <w:r>
              <w:t>示例型号 FG-3100D（示例）</w:t>
            </w:r>
          </w:p>
        </w:tc>
        <w:tc>
          <w:tcPr>
            <w:tcW w:type="dxa" w:w="960"/>
          </w:tcPr>
          <w:p>
            <w:r>
              <w:t>台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156,000</w:t>
            </w:r>
          </w:p>
        </w:tc>
        <w:tc>
          <w:tcPr>
            <w:tcW w:type="dxa" w:w="960"/>
          </w:tcPr>
          <w:p>
            <w:r>
              <w:t>3 年</w:t>
            </w:r>
          </w:p>
        </w:tc>
        <w:tc>
          <w:tcPr>
            <w:tcW w:type="dxa" w:w="960"/>
          </w:tcPr>
          <w:p>
            <w:r>
              <w:t>安全设备</w:t>
            </w:r>
          </w:p>
        </w:tc>
        <w:tc>
          <w:tcPr>
            <w:tcW w:type="dxa" w:w="960"/>
          </w:tcPr>
          <w:p>
            <w:r>
              <w:t>含特征库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上网行为管理</w:t>
            </w:r>
          </w:p>
        </w:tc>
        <w:tc>
          <w:tcPr>
            <w:tcW w:type="dxa" w:w="960"/>
          </w:tcPr>
          <w:p>
            <w:r>
              <w:t>示例型号 AC-6000（示例）</w:t>
            </w:r>
          </w:p>
        </w:tc>
        <w:tc>
          <w:tcPr>
            <w:tcW w:type="dxa" w:w="960"/>
          </w:tcPr>
          <w:p>
            <w:r>
              <w:t>台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45,000</w:t>
            </w:r>
          </w:p>
        </w:tc>
        <w:tc>
          <w:tcPr>
            <w:tcW w:type="dxa" w:w="960"/>
          </w:tcPr>
          <w:p>
            <w:r>
              <w:t>3 年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应用服务器</w:t>
            </w:r>
          </w:p>
        </w:tc>
        <w:tc>
          <w:tcPr>
            <w:tcW w:type="dxa" w:w="960"/>
          </w:tcPr>
          <w:p>
            <w:r>
              <w:t>示例型号 SR-660（示例）</w:t>
            </w:r>
          </w:p>
        </w:tc>
        <w:tc>
          <w:tcPr>
            <w:tcW w:type="dxa" w:w="960"/>
          </w:tcPr>
          <w:p>
            <w:r>
              <w:t>台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92,000</w:t>
            </w:r>
          </w:p>
        </w:tc>
        <w:tc>
          <w:tcPr>
            <w:tcW w:type="dxa" w:w="960"/>
          </w:tcPr>
          <w:p>
            <w:r>
              <w:t>3 年</w:t>
            </w:r>
          </w:p>
        </w:tc>
        <w:tc>
          <w:tcPr>
            <w:tcW w:type="dxa" w:w="960"/>
            <w:vMerge w:val="restart"/>
          </w:tcPr>
          <w:p>
            <w:r>
              <w:t>计算存储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数据库服务器</w:t>
            </w:r>
          </w:p>
        </w:tc>
        <w:tc>
          <w:tcPr>
            <w:tcW w:type="dxa" w:w="960"/>
          </w:tcPr>
          <w:p>
            <w:r>
              <w:t>示例型号 SR-860（示例）</w:t>
            </w:r>
          </w:p>
        </w:tc>
        <w:tc>
          <w:tcPr>
            <w:tcW w:type="dxa" w:w="960"/>
          </w:tcPr>
          <w:p>
            <w:r>
              <w:t>台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148,000</w:t>
            </w:r>
          </w:p>
        </w:tc>
        <w:tc>
          <w:tcPr>
            <w:tcW w:type="dxa" w:w="960"/>
          </w:tcPr>
          <w:p>
            <w:r>
              <w:t>3 年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分布式存储</w:t>
            </w:r>
          </w:p>
        </w:tc>
        <w:tc>
          <w:tcPr>
            <w:tcW w:type="dxa" w:w="960"/>
          </w:tcPr>
          <w:p>
            <w:r>
              <w:t>示例型号 ST-5000（示例）</w:t>
            </w:r>
          </w:p>
        </w:tc>
        <w:tc>
          <w:tcPr>
            <w:tcW w:type="dxa" w:w="960"/>
          </w:tcPr>
          <w:p>
            <w:r>
              <w:t>套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320,000</w:t>
            </w:r>
          </w:p>
        </w:tc>
        <w:tc>
          <w:tcPr>
            <w:tcW w:type="dxa" w:w="960"/>
          </w:tcPr>
          <w:p>
            <w:r>
              <w:t>3 年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精密空调</w:t>
            </w:r>
          </w:p>
        </w:tc>
        <w:tc>
          <w:tcPr>
            <w:tcW w:type="dxa" w:w="960"/>
          </w:tcPr>
          <w:p>
            <w:r>
              <w:t>示例型号 CRV-40（示例）</w:t>
            </w:r>
          </w:p>
        </w:tc>
        <w:tc>
          <w:tcPr>
            <w:tcW w:type="dxa" w:w="960"/>
          </w:tcPr>
          <w:p>
            <w:r>
              <w:t>台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68,000</w:t>
            </w:r>
          </w:p>
        </w:tc>
        <w:tc>
          <w:tcPr>
            <w:tcW w:type="dxa" w:w="960"/>
          </w:tcPr>
          <w:p>
            <w:r>
              <w:t>2 年</w:t>
            </w:r>
          </w:p>
        </w:tc>
        <w:tc>
          <w:tcPr>
            <w:tcW w:type="dxa" w:w="960"/>
            <w:vMerge w:val="restart"/>
          </w:tcPr>
          <w:p>
            <w:r>
              <w:t>机房配套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UPS 电源</w:t>
            </w:r>
          </w:p>
        </w:tc>
        <w:tc>
          <w:tcPr>
            <w:tcW w:type="dxa" w:w="960"/>
          </w:tcPr>
          <w:p>
            <w:r>
              <w:t>示例型号 UH-60kVA（示例）</w:t>
            </w:r>
          </w:p>
        </w:tc>
        <w:tc>
          <w:tcPr>
            <w:tcW w:type="dxa" w:w="960"/>
          </w:tcPr>
          <w:p>
            <w:r>
              <w:t>套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210,000</w:t>
            </w:r>
          </w:p>
        </w:tc>
        <w:tc>
          <w:tcPr>
            <w:tcW w:type="dxa" w:w="960"/>
          </w:tcPr>
          <w:p>
            <w:r>
              <w:t>2 年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机柜及配件</w:t>
            </w:r>
          </w:p>
        </w:tc>
        <w:tc>
          <w:tcPr>
            <w:tcW w:type="dxa" w:w="960"/>
          </w:tcPr>
          <w:p>
            <w:r>
              <w:t>示例型号 NR-42U（示例）</w:t>
            </w:r>
          </w:p>
        </w:tc>
        <w:tc>
          <w:tcPr>
            <w:tcW w:type="dxa" w:w="960"/>
          </w:tcPr>
          <w:p>
            <w:r>
              <w:t>个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4,800</w:t>
            </w:r>
          </w:p>
        </w:tc>
        <w:tc>
          <w:tcPr>
            <w:tcW w:type="dxa" w:w="960"/>
          </w:tcPr>
          <w:p>
            <w:r>
              <w:t>2 年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视频监控</w:t>
            </w:r>
          </w:p>
        </w:tc>
        <w:tc>
          <w:tcPr>
            <w:tcW w:type="dxa" w:w="960"/>
          </w:tcPr>
          <w:p>
            <w:r>
              <w:t>示例型号 IPC-8X（示例）</w:t>
            </w:r>
          </w:p>
        </w:tc>
        <w:tc>
          <w:tcPr>
            <w:tcW w:type="dxa" w:w="960"/>
          </w:tcPr>
          <w:p>
            <w:r>
              <w:t>台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3,200</w:t>
            </w:r>
          </w:p>
        </w:tc>
        <w:tc>
          <w:tcPr>
            <w:tcW w:type="dxa" w:w="960"/>
          </w:tcPr>
          <w:p>
            <w:r>
              <w:t>2 年</w:t>
            </w:r>
          </w:p>
        </w:tc>
        <w:tc>
          <w:tcPr>
            <w:tcW w:type="dxa" w:w="960"/>
            <w:vMerge w:val="restart"/>
          </w:tcPr>
          <w:p>
            <w:r>
              <w:t>智能化专项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门禁系统</w:t>
            </w:r>
          </w:p>
        </w:tc>
        <w:tc>
          <w:tcPr>
            <w:tcW w:type="dxa" w:w="960"/>
          </w:tcPr>
          <w:p>
            <w:r>
              <w:t>示例型号 AC-2100（示例）</w:t>
            </w:r>
          </w:p>
        </w:tc>
        <w:tc>
          <w:tcPr>
            <w:tcW w:type="dxa" w:w="960"/>
          </w:tcPr>
          <w:p>
            <w:r>
              <w:t>套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5,600</w:t>
            </w:r>
          </w:p>
        </w:tc>
        <w:tc>
          <w:tcPr>
            <w:tcW w:type="dxa" w:w="960"/>
          </w:tcPr>
          <w:p>
            <w:r>
              <w:t>2 年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综合布线</w:t>
            </w:r>
          </w:p>
        </w:tc>
        <w:tc>
          <w:tcPr>
            <w:tcW w:type="dxa" w:w="960"/>
          </w:tcPr>
          <w:p>
            <w:r>
              <w:t>六类非屏蔽（示例）</w:t>
            </w:r>
          </w:p>
        </w:tc>
        <w:tc>
          <w:tcPr>
            <w:tcW w:type="dxa" w:w="960"/>
          </w:tcPr>
          <w:p>
            <w:r>
              <w:t>项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185,000</w:t>
            </w:r>
          </w:p>
        </w:tc>
        <w:tc>
          <w:tcPr>
            <w:tcW w:type="dxa" w:w="960"/>
          </w:tcPr>
          <w:p>
            <w:r>
              <w:t>2 年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排队叫号</w:t>
            </w:r>
          </w:p>
        </w:tc>
        <w:tc>
          <w:tcPr>
            <w:tcW w:type="dxa" w:w="960"/>
          </w:tcPr>
          <w:p>
            <w:r>
              <w:t>示例型号 QM-300（示例）</w:t>
            </w:r>
          </w:p>
        </w:tc>
        <w:tc>
          <w:tcPr>
            <w:tcW w:type="dxa" w:w="960"/>
          </w:tcPr>
          <w:p>
            <w:r>
              <w:t>套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12,000</w:t>
            </w:r>
          </w:p>
        </w:tc>
        <w:tc>
          <w:tcPr>
            <w:tcW w:type="dxa" w:w="960"/>
          </w:tcPr>
          <w:p>
            <w:r>
              <w:t>2 年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驻场运维</w:t>
            </w:r>
          </w:p>
        </w:tc>
        <w:tc>
          <w:tcPr>
            <w:tcW w:type="dxa" w:w="960"/>
          </w:tcPr>
          <w:p>
            <w:r>
              <w:t>3 年 7×24（示例）</w:t>
            </w:r>
          </w:p>
        </w:tc>
        <w:tc>
          <w:tcPr>
            <w:tcW w:type="dxa" w:w="960"/>
          </w:tcPr>
          <w:p>
            <w:r>
              <w:t>项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260,000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  <w:vMerge w:val="restart"/>
          </w:tcPr>
          <w:p>
            <w:r>
              <w:t>运维服务</w:t>
            </w:r>
          </w:p>
        </w:tc>
        <w:tc>
          <w:tcPr>
            <w:tcW w:type="dxa" w:w="960"/>
          </w:tcPr>
          <w:p>
            <w:r>
              <w:t>含备件</w:t>
            </w:r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培训服务</w:t>
            </w:r>
          </w:p>
        </w:tc>
        <w:tc>
          <w:tcPr>
            <w:tcW w:type="dxa" w:w="960"/>
          </w:tcPr>
          <w:p>
            <w:r>
              <w:t>分批集中培训（示例）</w:t>
            </w:r>
          </w:p>
        </w:tc>
        <w:tc>
          <w:tcPr>
            <w:tcW w:type="dxa" w:w="960"/>
          </w:tcPr>
          <w:p>
            <w:r>
              <w:t>项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36,000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迁移实施</w:t>
            </w:r>
          </w:p>
        </w:tc>
        <w:tc>
          <w:tcPr>
            <w:tcW w:type="dxa" w:w="960"/>
          </w:tcPr>
          <w:p>
            <w:r>
              <w:t>数据迁移与割接（示例）</w:t>
            </w:r>
          </w:p>
        </w:tc>
        <w:tc>
          <w:tcPr>
            <w:tcW w:type="dxa" w:w="960"/>
          </w:tcPr>
          <w:p>
            <w:r>
              <w:t>项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55,000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/>
          </w:p>
        </w:tc>
      </w:tr>
    </w:tbl>
    <w:p>
      <w:r>
        <w:t>注：本表结构为合成示例，不构成任何真实采购需求。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2026-10-16T09:00:00Z</dcterms:created>
  <dcterms:modified xsi:type="dcterms:W3CDTF">2026-10-16T09:00:00Z</dcterms:modified>
  <cp:category/>
</cp:coreProperties>
</file>